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w:t>
      </w:r>
      <w:bookmarkStart w:id="1" w:name="_GoBack"/>
      <w:bookmarkEnd w:id="1"/>
      <w:r w:rsidR="00281B0B" w:rsidRPr="00D54C6E">
        <w:rPr>
          <w:rFonts w:ascii="Arial" w:eastAsia="Arial" w:hAnsi="Arial" w:cs="Arial"/>
          <w:color w:val="000000"/>
          <w:sz w:val="24"/>
          <w:szCs w:val="24"/>
        </w:rPr>
        <w:t>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2" w:name="_heading=h.1fob9te" w:colFirst="0" w:colLast="0"/>
      <w:bookmarkStart w:id="3" w:name="_Ref141095370"/>
      <w:bookmarkEnd w:id="2"/>
      <w:r>
        <w:rPr>
          <w:rFonts w:ascii="Arial" w:eastAsia="Arial" w:hAnsi="Arial" w:cs="Arial"/>
          <w:b/>
          <w:color w:val="000000"/>
          <w:sz w:val="24"/>
          <w:szCs w:val="24"/>
        </w:rPr>
        <w:t>Where one Party is Controller and the other Party its Processor</w:t>
      </w:r>
      <w:bookmarkEnd w:id="3"/>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4" w:name="_heading=h.3znysh7" w:colFirst="0" w:colLast="0"/>
      <w:bookmarkStart w:id="5" w:name="_Ref141095179"/>
      <w:bookmarkEnd w:id="4"/>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5"/>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6" w:name="bookmark=id.30j0zll" w:colFirst="0" w:colLast="0"/>
      <w:bookmarkEnd w:id="6"/>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7" w:name="bookmark=id.1fob9te" w:colFirst="0" w:colLast="0"/>
      <w:bookmarkEnd w:id="7"/>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8" w:name="bookmark=id.3znysh7" w:colFirst="0" w:colLast="0"/>
      <w:bookmarkEnd w:id="8"/>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nature of the data to be protected;</w:t>
      </w:r>
      <w:bookmarkStart w:id="9" w:name="bookmark=id.2et92p0" w:colFirst="0" w:colLast="0"/>
      <w:bookmarkEnd w:id="9"/>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harm that might result from a Data Loss Event;</w:t>
      </w:r>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tyjcwt" w:colFirst="0" w:colLast="0"/>
      <w:bookmarkEnd w:id="10"/>
      <w:r w:rsidRPr="00D54C6E">
        <w:rPr>
          <w:rFonts w:ascii="Arial" w:eastAsia="Arial" w:hAnsi="Arial" w:cs="Arial"/>
          <w:color w:val="000000"/>
          <w:sz w:val="24"/>
          <w:szCs w:val="24"/>
        </w:rPr>
        <w:t>ensure that:</w:t>
      </w:r>
    </w:p>
    <w:p w14:paraId="0000001B" w14:textId="298EA3D3"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w:t>
      </w:r>
      <w:proofErr w:type="gramStart"/>
      <w:r w:rsidRPr="00D54C6E">
        <w:rPr>
          <w:rFonts w:ascii="Arial" w:eastAsia="Arial" w:hAnsi="Arial" w:cs="Arial"/>
          <w:color w:val="000000"/>
          <w:sz w:val="24"/>
          <w:szCs w:val="24"/>
        </w:rPr>
        <w:t xml:space="preserve">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w:t>
      </w:r>
      <w:proofErr w:type="gramEnd"/>
      <w:r w:rsidR="007340B7">
        <w:rPr>
          <w:rFonts w:ascii="Arial" w:eastAsia="Arial" w:hAnsi="Arial" w:cs="Arial"/>
          <w:color w:val="000000"/>
          <w:sz w:val="24"/>
          <w:szCs w:val="24"/>
        </w:rPr>
        <w:t>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subject to appropriate confidentiality undertakings with the Processor or any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w:t>
      </w:r>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Data;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1" w:name="bookmark=id.3dy6vkm" w:colFirst="0" w:colLast="0"/>
      <w:bookmarkEnd w:id="11"/>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lastRenderedPageBreak/>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International Data Transfer Agreement issued by the Information Commissioner under S119</w:t>
      </w:r>
      <w:proofErr w:type="gramStart"/>
      <w:r w:rsidRPr="00D54C6E">
        <w:rPr>
          <w:rFonts w:ascii="Arial" w:eastAsia="Arial" w:hAnsi="Arial" w:cs="Arial"/>
          <w:color w:val="000000"/>
          <w:sz w:val="24"/>
          <w:szCs w:val="24"/>
        </w:rPr>
        <w:t>A(</w:t>
      </w:r>
      <w:proofErr w:type="gramEnd"/>
      <w:r w:rsidRPr="00D54C6E">
        <w:rPr>
          <w:rFonts w:ascii="Arial" w:eastAsia="Arial" w:hAnsi="Arial" w:cs="Arial"/>
          <w:color w:val="000000"/>
          <w:sz w:val="24"/>
          <w:szCs w:val="24"/>
        </w:rPr>
        <w:t xml:space="preserve">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2" w:name="_heading=h.z5k0m0x42jau" w:colFirst="0" w:colLast="0"/>
      <w:bookmarkEnd w:id="12"/>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under section 119</w:t>
      </w:r>
      <w:proofErr w:type="gramStart"/>
      <w:r w:rsidRPr="00D54C6E">
        <w:rPr>
          <w:rFonts w:ascii="Arial" w:eastAsia="Arial" w:hAnsi="Arial" w:cs="Arial"/>
          <w:color w:val="000000"/>
          <w:sz w:val="24"/>
          <w:szCs w:val="24"/>
        </w:rPr>
        <w:t>A(</w:t>
      </w:r>
      <w:proofErr w:type="gramEnd"/>
      <w:r w:rsidRPr="00D54C6E">
        <w:rPr>
          <w:rFonts w:ascii="Arial" w:eastAsia="Arial" w:hAnsi="Arial" w:cs="Arial"/>
          <w:color w:val="000000"/>
          <w:sz w:val="24"/>
          <w:szCs w:val="24"/>
        </w:rPr>
        <w:t xml:space="preserve">1) of the DPA 2018; </w:t>
      </w:r>
      <w:bookmarkStart w:id="13" w:name="_heading=h.m4rlzh4gigol" w:colFirst="0" w:colLast="0"/>
      <w:bookmarkEnd w:id="13"/>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4" w:name="_heading=h.mi3f4v8yc3o7" w:colFirst="0" w:colLast="0"/>
      <w:bookmarkEnd w:id="14"/>
    </w:p>
    <w:p w14:paraId="00000028" w14:textId="717FF44D" w:rsidR="00271DE7" w:rsidRDefault="00281B0B" w:rsidP="004B56C7">
      <w:pPr>
        <w:pBdr>
          <w:top w:val="nil"/>
          <w:left w:val="nil"/>
          <w:bottom w:val="nil"/>
          <w:right w:val="nil"/>
          <w:between w:val="nil"/>
        </w:pBdr>
        <w:spacing w:before="120" w:after="120" w:line="240" w:lineRule="auto"/>
        <w:ind w:left="2606"/>
      </w:pPr>
      <w:bookmarkStart w:id="15" w:name="_heading=h.2et92p0" w:colFirst="0" w:colLast="0"/>
      <w:bookmarkEnd w:id="15"/>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4d34og8" w:colFirst="0" w:colLast="0"/>
      <w:bookmarkEnd w:id="16"/>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2s8eyo1" w:colFirst="0" w:colLast="0"/>
      <w:bookmarkEnd w:id="17"/>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8" w:name="bookmark=id.17dp8vu" w:colFirst="0" w:colLast="0"/>
      <w:bookmarkEnd w:id="18"/>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9" w:name="bookmark=id.3rdcrjn" w:colFirst="0" w:colLast="0"/>
      <w:bookmarkEnd w:id="19"/>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3016501" w:rsidR="00271DE7" w:rsidRDefault="00281B0B" w:rsidP="00D54C6E">
      <w:pPr>
        <w:keepNext/>
        <w:numPr>
          <w:ilvl w:val="1"/>
          <w:numId w:val="1"/>
        </w:numPr>
        <w:pBdr>
          <w:top w:val="nil"/>
          <w:left w:val="nil"/>
          <w:bottom w:val="nil"/>
          <w:right w:val="nil"/>
          <w:between w:val="nil"/>
        </w:pBdr>
        <w:spacing w:before="120" w:after="120" w:line="240" w:lineRule="auto"/>
      </w:pPr>
      <w:bookmarkStart w:id="20" w:name="bookmark=id.26in1rg" w:colFirst="0" w:colLast="0"/>
      <w:bookmarkStart w:id="21" w:name="_heading=h.tyjcwt" w:colFirst="0" w:colLast="0"/>
      <w:bookmarkStart w:id="22" w:name="_Ref141094963"/>
      <w:bookmarkEnd w:id="20"/>
      <w:bookmarkEnd w:id="21"/>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2"/>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6F43C0B" w:rsidR="00271DE7" w:rsidRDefault="00281B0B" w:rsidP="00D54C6E">
      <w:pPr>
        <w:numPr>
          <w:ilvl w:val="1"/>
          <w:numId w:val="1"/>
        </w:numPr>
        <w:pBdr>
          <w:top w:val="nil"/>
          <w:left w:val="nil"/>
          <w:bottom w:val="nil"/>
          <w:right w:val="nil"/>
          <w:between w:val="nil"/>
        </w:pBdr>
        <w:spacing w:before="120" w:after="120" w:line="240" w:lineRule="auto"/>
      </w:pPr>
      <w:bookmarkStart w:id="23" w:name="_heading=h.3dy6vkm" w:colFirst="0" w:colLast="0"/>
      <w:bookmarkStart w:id="24" w:name="_Ref141094952"/>
      <w:bookmarkEnd w:id="23"/>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4"/>
      <w:r>
        <w:rPr>
          <w:rFonts w:ascii="Arial" w:eastAsia="Arial" w:hAnsi="Arial" w:cs="Arial"/>
          <w:color w:val="000000"/>
          <w:sz w:val="24"/>
          <w:szCs w:val="24"/>
        </w:rPr>
        <w:t xml:space="preserve"> </w:t>
      </w:r>
    </w:p>
    <w:p w14:paraId="0000003B" w14:textId="70DC6447" w:rsidR="00271DE7" w:rsidRDefault="00281B0B" w:rsidP="00D54C6E">
      <w:pPr>
        <w:keepNext/>
        <w:numPr>
          <w:ilvl w:val="1"/>
          <w:numId w:val="1"/>
        </w:numPr>
        <w:pBdr>
          <w:top w:val="nil"/>
          <w:left w:val="nil"/>
          <w:bottom w:val="nil"/>
          <w:right w:val="nil"/>
          <w:between w:val="nil"/>
        </w:pBdr>
        <w:spacing w:before="120" w:after="120" w:line="240" w:lineRule="auto"/>
      </w:pP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with full details and copies of the complaint, communication or request;</w:t>
      </w:r>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5" w:name="bookmark=id.lnxbz9" w:colFirst="0" w:colLast="0"/>
      <w:bookmarkEnd w:id="25"/>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Before allowing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notify the Controller in writing of the intended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and Processing;</w:t>
      </w:r>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enter into a written agreement with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which gives effect to the terms set out in this Schedule 20 such that they apply to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provide the Controller with such information regarding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remain fully liable for all acts or omissions of any of its </w:t>
      </w:r>
      <w:proofErr w:type="spellStart"/>
      <w:r>
        <w:rPr>
          <w:rFonts w:ascii="Arial" w:eastAsia="Arial" w:hAnsi="Arial" w:cs="Arial"/>
          <w:color w:val="000000"/>
          <w:sz w:val="24"/>
          <w:szCs w:val="24"/>
        </w:rPr>
        <w:t>Subprocessors</w:t>
      </w:r>
      <w:proofErr w:type="spellEnd"/>
      <w:r>
        <w:rPr>
          <w:rFonts w:ascii="Arial" w:eastAsia="Arial" w:hAnsi="Arial" w:cs="Arial"/>
          <w:color w:val="000000"/>
          <w:sz w:val="24"/>
          <w:szCs w:val="24"/>
        </w:rPr>
        <w:t>.</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6" w:name="bookmark=id.35nkun2" w:colFirst="0" w:colLast="0"/>
      <w:bookmarkStart w:id="27" w:name="_heading=h.1t3h5sf" w:colFirst="0" w:colLast="0"/>
      <w:bookmarkEnd w:id="26"/>
      <w:bookmarkEnd w:id="27"/>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4D85A47E" w:rsidR="00271DE7" w:rsidRDefault="00281B0B" w:rsidP="00CF2F80">
      <w:pPr>
        <w:pBdr>
          <w:top w:val="nil"/>
          <w:left w:val="nil"/>
          <w:bottom w:val="nil"/>
          <w:right w:val="nil"/>
          <w:between w:val="nil"/>
        </w:pBdr>
        <w:spacing w:before="120" w:after="120" w:line="240" w:lineRule="auto"/>
        <w:ind w:left="360"/>
      </w:pP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8" w:name="_heading=h.4d34og8" w:colFirst="0" w:colLast="0"/>
      <w:bookmarkEnd w:id="28"/>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9"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9"/>
      <w:r>
        <w:rPr>
          <w:rFonts w:ascii="Arial" w:eastAsia="Arial" w:hAnsi="Arial" w:cs="Arial"/>
          <w:color w:val="000000"/>
          <w:sz w:val="24"/>
          <w:szCs w:val="24"/>
        </w:rPr>
        <w:t xml:space="preserve"> </w:t>
      </w:r>
    </w:p>
    <w:p w14:paraId="00000054" w14:textId="036EE2A8"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w:t>
      </w:r>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lastRenderedPageBreak/>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w:t>
      </w:r>
      <w:proofErr w:type="gramStart"/>
      <w:r w:rsidRPr="00D54C6E">
        <w:rPr>
          <w:rFonts w:ascii="Arial" w:eastAsia="Arial" w:hAnsi="Arial" w:cs="Arial"/>
          <w:color w:val="000000"/>
          <w:sz w:val="24"/>
          <w:szCs w:val="24"/>
        </w:rPr>
        <w:t>A(</w:t>
      </w:r>
      <w:proofErr w:type="gramEnd"/>
      <w:r w:rsidRPr="00D54C6E">
        <w:rPr>
          <w:rFonts w:ascii="Arial" w:eastAsia="Arial" w:hAnsi="Arial" w:cs="Arial"/>
          <w:color w:val="000000"/>
          <w:sz w:val="24"/>
          <w:szCs w:val="24"/>
        </w:rPr>
        <w:t>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660985F"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the request or correspondence is directed to the other Party and/or relates to that other Party's Processing of the Personal Data, the Request </w:t>
      </w:r>
      <w:proofErr w:type="gramStart"/>
      <w:r w:rsidRPr="00D54C6E">
        <w:rPr>
          <w:rFonts w:ascii="Arial" w:eastAsia="Arial" w:hAnsi="Arial" w:cs="Arial"/>
          <w:color w:val="000000"/>
          <w:sz w:val="24"/>
          <w:szCs w:val="24"/>
        </w:rPr>
        <w:t>Recipient  will</w:t>
      </w:r>
      <w:proofErr w:type="gramEnd"/>
      <w:r w:rsidRPr="00D54C6E">
        <w:rPr>
          <w:rFonts w:ascii="Arial" w:eastAsia="Arial" w:hAnsi="Arial" w:cs="Arial"/>
          <w:color w:val="000000"/>
          <w:sz w:val="24"/>
          <w:szCs w:val="24"/>
        </w:rPr>
        <w:t>:</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381C89A4"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9D9230F"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heading=h.2s8eyo1" w:colFirst="0" w:colLast="0"/>
      <w:bookmarkEnd w:id="30"/>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2943E394" w:rsidR="00271DE7" w:rsidRPr="00BC15C0" w:rsidRDefault="00281B0B" w:rsidP="00D54C6E">
      <w:pPr>
        <w:numPr>
          <w:ilvl w:val="1"/>
          <w:numId w:val="1"/>
        </w:numPr>
        <w:pBdr>
          <w:top w:val="nil"/>
          <w:left w:val="nil"/>
          <w:bottom w:val="nil"/>
          <w:right w:val="nil"/>
          <w:between w:val="nil"/>
        </w:pBdr>
        <w:spacing w:before="120" w:after="120" w:line="240" w:lineRule="auto"/>
      </w:pPr>
      <w:bookmarkStart w:id="31"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1"/>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sz w:val="36"/>
          <w:szCs w:val="36"/>
        </w:rPr>
      </w:pPr>
      <w:r>
        <w:br w:type="page"/>
      </w:r>
      <w:r>
        <w:rPr>
          <w:rFonts w:ascii="Arial" w:eastAsia="Arial" w:hAnsi="Arial" w:cs="Arial"/>
          <w:b/>
          <w:color w:val="000000"/>
          <w:sz w:val="36"/>
          <w:szCs w:val="36"/>
        </w:rPr>
        <w:lastRenderedPageBreak/>
        <w:t xml:space="preserve">Annex </w:t>
      </w:r>
      <w:bookmarkStart w:id="32" w:name="Ann_1"/>
      <w:r>
        <w:rPr>
          <w:rFonts w:ascii="Arial" w:eastAsia="Arial" w:hAnsi="Arial" w:cs="Arial"/>
          <w:b/>
          <w:color w:val="000000"/>
          <w:sz w:val="36"/>
          <w:szCs w:val="36"/>
        </w:rPr>
        <w:t>1</w:t>
      </w:r>
      <w:bookmarkEnd w:id="32"/>
      <w:r>
        <w:rPr>
          <w:rFonts w:ascii="Arial" w:eastAsia="Arial" w:hAnsi="Arial" w:cs="Arial"/>
          <w:b/>
          <w:color w:val="000000"/>
          <w:sz w:val="36"/>
          <w:szCs w:val="36"/>
        </w:rPr>
        <w:t xml:space="preserve"> - Processing Personal Data</w:t>
      </w:r>
    </w:p>
    <w:p w14:paraId="0000007D" w14:textId="4CA82024" w:rsidR="00271DE7" w:rsidRDefault="00281B0B">
      <w:pPr>
        <w:keepNext/>
        <w:numPr>
          <w:ilvl w:val="0"/>
          <w:numId w:val="4"/>
        </w:numPr>
        <w:pBdr>
          <w:top w:val="nil"/>
          <w:left w:val="nil"/>
          <w:bottom w:val="nil"/>
          <w:right w:val="nil"/>
          <w:between w:val="nil"/>
        </w:pBdr>
        <w:spacing w:before="120" w:after="240" w:line="240" w:lineRule="auto"/>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14:paraId="0000007E" w14:textId="493EDBC2"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contact details of the Buyer’s Data Protection Officer are:</w:t>
      </w:r>
      <w:r w:rsidR="00C95600">
        <w:rPr>
          <w:rFonts w:ascii="Arial" w:eastAsia="Arial" w:hAnsi="Arial" w:cs="Arial"/>
          <w:color w:val="000000"/>
          <w:sz w:val="24"/>
          <w:szCs w:val="24"/>
        </w:rPr>
        <w:t xml:space="preserve"> infosec@crowncommercial.gov.uk</w:t>
      </w:r>
    </w:p>
    <w:p w14:paraId="0000007F" w14:textId="17B1CD71"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contact details of the Supplier’s Data Protection Officer are: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w:t>
      </w:r>
      <w:r>
        <w:rPr>
          <w:rFonts w:ascii="Arial" w:eastAsia="Arial" w:hAnsi="Arial" w:cs="Arial"/>
          <w:color w:val="000000"/>
          <w:sz w:val="24"/>
          <w:szCs w:val="24"/>
          <w:highlight w:val="yellow"/>
        </w:rPr>
        <w:t>Contact details]</w:t>
      </w:r>
    </w:p>
    <w:p w14:paraId="00000080" w14:textId="56C39E5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14:paraId="00000082" w14:textId="469E2EE7" w:rsidR="00271DE7" w:rsidRPr="00C95600" w:rsidRDefault="00281B0B" w:rsidP="00C95600">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Any such further instructions shall be incorporated into this Annex.</w:t>
      </w:r>
      <w:bookmarkStart w:id="33" w:name="_heading=h.gjdgxs" w:colFirst="0" w:colLast="0"/>
      <w:bookmarkEnd w:id="33"/>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60E514AF" w14:textId="77777777" w:rsidTr="003B53E5">
        <w:trPr>
          <w:trHeight w:val="700"/>
          <w:tblHeader/>
        </w:trPr>
        <w:tc>
          <w:tcPr>
            <w:tcW w:w="2263" w:type="dxa"/>
            <w:shd w:val="clear" w:color="auto" w:fill="BFBFBF"/>
            <w:vAlign w:val="center"/>
          </w:tcPr>
          <w:p w14:paraId="00000083" w14:textId="700F7E15"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84" w14:textId="36B8ADA3" w:rsidR="00271DE7" w:rsidRDefault="00281B0B" w:rsidP="003B53E5">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271DE7" w14:paraId="7A0AE709" w14:textId="77777777">
        <w:trPr>
          <w:trHeight w:val="1620"/>
        </w:trPr>
        <w:tc>
          <w:tcPr>
            <w:tcW w:w="2263"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86" w14:textId="161331D3"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Buyer is Controller and the Supplier is Processor</w:t>
            </w:r>
          </w:p>
          <w:p w14:paraId="00000087" w14:textId="493DD94F"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in accordance with Paragraph 2 and for the purposes of the Data Protection Legislation, the Buyer is the Controller and the Supplier is the Processor of the following Personal Data:</w:t>
            </w:r>
          </w:p>
          <w:p w14:paraId="00000088" w14:textId="1B8134EE" w:rsidR="00271DE7" w:rsidRPr="007B1E8A" w:rsidRDefault="00C95600" w:rsidP="003B53E5">
            <w:pPr>
              <w:numPr>
                <w:ilvl w:val="0"/>
                <w:numId w:val="7"/>
              </w:numPr>
              <w:pBdr>
                <w:top w:val="nil"/>
                <w:left w:val="nil"/>
                <w:bottom w:val="nil"/>
                <w:right w:val="nil"/>
                <w:between w:val="nil"/>
              </w:pBdr>
              <w:spacing w:before="120" w:after="120"/>
              <w:ind w:left="714" w:hanging="357"/>
              <w:rPr>
                <w:rFonts w:ascii="Arial" w:eastAsia="Arial" w:hAnsi="Arial" w:cs="Arial"/>
                <w:bCs/>
                <w:iCs/>
                <w:sz w:val="24"/>
                <w:szCs w:val="24"/>
              </w:rPr>
            </w:pPr>
            <w:r>
              <w:rPr>
                <w:rFonts w:ascii="Arial" w:eastAsia="Arial" w:hAnsi="Arial" w:cs="Arial"/>
                <w:bCs/>
                <w:iCs/>
                <w:sz w:val="24"/>
                <w:szCs w:val="24"/>
              </w:rPr>
              <w:t>Names, email addresses and telephone numbers of Buyer employees</w:t>
            </w:r>
          </w:p>
          <w:p w14:paraId="0000008A" w14:textId="0737B09D"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Supplier is Controller and the Buyer is Processor</w:t>
            </w:r>
          </w:p>
          <w:p w14:paraId="0000008B" w14:textId="2D642CC5"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for the purposes of the Data Protection Legislation, the Supplier is the Controller and the Buyer is the Processor in accordance with Paragraph</w:t>
            </w:r>
            <w:r w:rsidR="003B53E5">
              <w:rPr>
                <w:rFonts w:ascii="Arial" w:eastAsia="Arial" w:hAnsi="Arial" w:cs="Arial"/>
                <w:sz w:val="24"/>
                <w:szCs w:val="24"/>
              </w:rPr>
              <w:t xml:space="preserve"> </w:t>
            </w:r>
            <w:r>
              <w:rPr>
                <w:rFonts w:ascii="Arial" w:eastAsia="Arial" w:hAnsi="Arial" w:cs="Arial"/>
                <w:sz w:val="24"/>
                <w:szCs w:val="24"/>
              </w:rPr>
              <w:t>2 of the following Personal Data:</w:t>
            </w:r>
          </w:p>
          <w:p w14:paraId="480655A4" w14:textId="651A9D39" w:rsidR="00C95600" w:rsidRPr="007B1E8A" w:rsidRDefault="00C95600" w:rsidP="00C95600">
            <w:pPr>
              <w:numPr>
                <w:ilvl w:val="0"/>
                <w:numId w:val="7"/>
              </w:numPr>
              <w:pBdr>
                <w:top w:val="nil"/>
                <w:left w:val="nil"/>
                <w:bottom w:val="nil"/>
                <w:right w:val="nil"/>
                <w:between w:val="nil"/>
              </w:pBdr>
              <w:spacing w:before="120" w:after="120"/>
              <w:ind w:left="714" w:hanging="357"/>
              <w:rPr>
                <w:rFonts w:ascii="Arial" w:eastAsia="Arial" w:hAnsi="Arial" w:cs="Arial"/>
                <w:bCs/>
                <w:iCs/>
                <w:sz w:val="24"/>
                <w:szCs w:val="24"/>
              </w:rPr>
            </w:pPr>
            <w:r>
              <w:rPr>
                <w:rFonts w:ascii="Arial" w:eastAsia="Arial" w:hAnsi="Arial" w:cs="Arial"/>
                <w:bCs/>
                <w:iCs/>
                <w:sz w:val="24"/>
                <w:szCs w:val="24"/>
              </w:rPr>
              <w:t>Names, email addresses and telephone numbers of Buyer and Supplier employees</w:t>
            </w:r>
          </w:p>
          <w:p w14:paraId="0000008E" w14:textId="64AC5301"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Parties are Joint Controllers</w:t>
            </w:r>
          </w:p>
          <w:p w14:paraId="0000008F" w14:textId="3EBCD206"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they are Joint Controllers for the purposes of the Data Protection Legislation in respect of:</w:t>
            </w:r>
          </w:p>
          <w:p w14:paraId="4C6A648D" w14:textId="77777777" w:rsidR="00C95600" w:rsidRPr="007B1E8A" w:rsidRDefault="00C95600" w:rsidP="00C95600">
            <w:pPr>
              <w:numPr>
                <w:ilvl w:val="0"/>
                <w:numId w:val="7"/>
              </w:numPr>
              <w:pBdr>
                <w:top w:val="nil"/>
                <w:left w:val="nil"/>
                <w:bottom w:val="nil"/>
                <w:right w:val="nil"/>
                <w:between w:val="nil"/>
              </w:pBdr>
              <w:spacing w:before="120" w:after="120"/>
              <w:ind w:left="714" w:hanging="357"/>
              <w:rPr>
                <w:rFonts w:ascii="Arial" w:eastAsia="Arial" w:hAnsi="Arial" w:cs="Arial"/>
                <w:bCs/>
                <w:iCs/>
                <w:sz w:val="24"/>
                <w:szCs w:val="24"/>
              </w:rPr>
            </w:pPr>
            <w:r>
              <w:rPr>
                <w:rFonts w:ascii="Arial" w:eastAsia="Arial" w:hAnsi="Arial" w:cs="Arial"/>
                <w:bCs/>
                <w:iCs/>
                <w:sz w:val="24"/>
                <w:szCs w:val="24"/>
              </w:rPr>
              <w:t>Names, email addresses and telephone numbers of Buyer and Supplier employees</w:t>
            </w:r>
          </w:p>
          <w:p w14:paraId="00000092" w14:textId="07FDC4EE"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Parties are Independent Controllers of Personal Data</w:t>
            </w:r>
          </w:p>
          <w:p w14:paraId="00000093" w14:textId="01597F72"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00000094" w14:textId="56EF3F2E" w:rsidR="00271DE7" w:rsidRPr="003B53E5" w:rsidRDefault="00281B0B" w:rsidP="003B53E5">
            <w:pPr>
              <w:numPr>
                <w:ilvl w:val="0"/>
                <w:numId w:val="8"/>
              </w:numPr>
              <w:pBdr>
                <w:top w:val="nil"/>
                <w:left w:val="nil"/>
                <w:bottom w:val="nil"/>
                <w:right w:val="nil"/>
                <w:between w:val="nil"/>
              </w:pBdr>
              <w:spacing w:before="120" w:after="120"/>
              <w:rPr>
                <w:rFonts w:ascii="Arial" w:eastAsia="Arial" w:hAnsi="Arial" w:cs="Arial"/>
                <w:iCs/>
                <w:sz w:val="24"/>
                <w:szCs w:val="24"/>
              </w:rPr>
            </w:pPr>
            <w:r>
              <w:rPr>
                <w:rFonts w:ascii="Arial" w:eastAsia="Arial" w:hAnsi="Arial" w:cs="Arial"/>
                <w:sz w:val="24"/>
                <w:szCs w:val="24"/>
              </w:rPr>
              <w:t>Personally identifiable information</w:t>
            </w:r>
            <w:r>
              <w:rPr>
                <w:rFonts w:ascii="Arial" w:eastAsia="Arial" w:hAnsi="Arial" w:cs="Arial"/>
                <w:i/>
                <w:sz w:val="24"/>
                <w:szCs w:val="24"/>
              </w:rPr>
              <w:t xml:space="preserve"> of </w:t>
            </w:r>
            <w:r w:rsidRPr="003B53E5">
              <w:rPr>
                <w:rFonts w:ascii="Arial" w:eastAsia="Arial" w:hAnsi="Arial" w:cs="Arial"/>
                <w:iCs/>
                <w:sz w:val="24"/>
                <w:szCs w:val="24"/>
              </w:rPr>
              <w:t>Supplier Personnel for which the Supplier is the Controller,</w:t>
            </w:r>
          </w:p>
          <w:p w14:paraId="00000097" w14:textId="2D299F44" w:rsidR="00271DE7" w:rsidRPr="00C95600" w:rsidRDefault="00281B0B" w:rsidP="003B53E5">
            <w:pPr>
              <w:numPr>
                <w:ilvl w:val="0"/>
                <w:numId w:val="8"/>
              </w:numPr>
              <w:pBdr>
                <w:top w:val="nil"/>
                <w:left w:val="nil"/>
                <w:bottom w:val="nil"/>
                <w:right w:val="nil"/>
                <w:between w:val="nil"/>
              </w:pBdr>
              <w:spacing w:before="120" w:after="120"/>
              <w:rPr>
                <w:rFonts w:ascii="Arial" w:eastAsia="Arial" w:hAnsi="Arial" w:cs="Arial"/>
                <w:iCs/>
                <w:sz w:val="24"/>
                <w:szCs w:val="24"/>
              </w:rPr>
            </w:pPr>
            <w:proofErr w:type="gramStart"/>
            <w:r w:rsidRPr="003B53E5">
              <w:rPr>
                <w:rFonts w:ascii="Arial" w:eastAsia="Arial" w:hAnsi="Arial" w:cs="Arial"/>
                <w:iCs/>
                <w:sz w:val="24"/>
                <w:szCs w:val="24"/>
              </w:rPr>
              <w:t>Personally</w:t>
            </w:r>
            <w:proofErr w:type="gramEnd"/>
            <w:r w:rsidRPr="003B53E5">
              <w:rPr>
                <w:rFonts w:ascii="Arial" w:eastAsia="Arial" w:hAnsi="Arial" w:cs="Arial"/>
                <w:iCs/>
                <w:sz w:val="24"/>
                <w:szCs w:val="24"/>
              </w:rPr>
              <w:t xml:space="preserve"> identifiable information of any directors, officers, employees, agents, consultants and contractors of Buyer (excluding the Supplier Personnel) engaged in the </w:t>
            </w:r>
            <w:r w:rsidRPr="003B53E5">
              <w:rPr>
                <w:rFonts w:ascii="Arial" w:eastAsia="Arial" w:hAnsi="Arial" w:cs="Arial"/>
                <w:iCs/>
                <w:sz w:val="24"/>
                <w:szCs w:val="24"/>
              </w:rPr>
              <w:lastRenderedPageBreak/>
              <w:t xml:space="preserve">performance of the Buyer’s duties under </w:t>
            </w:r>
            <w:r w:rsidR="00AC431B">
              <w:rPr>
                <w:rFonts w:ascii="Arial" w:eastAsia="Arial" w:hAnsi="Arial" w:cs="Arial"/>
                <w:iCs/>
                <w:sz w:val="24"/>
                <w:szCs w:val="24"/>
              </w:rPr>
              <w:t>this Contract</w:t>
            </w:r>
            <w:r w:rsidRPr="003B53E5">
              <w:rPr>
                <w:rFonts w:ascii="Arial" w:eastAsia="Arial" w:hAnsi="Arial" w:cs="Arial"/>
                <w:iCs/>
                <w:sz w:val="24"/>
                <w:szCs w:val="24"/>
              </w:rPr>
              <w:t>) for which the Buyer is the Controller</w:t>
            </w:r>
            <w:r w:rsidRPr="00C95600">
              <w:rPr>
                <w:rFonts w:ascii="Arial" w:eastAsia="Arial" w:hAnsi="Arial" w:cs="Arial"/>
                <w:b/>
                <w:i/>
                <w:sz w:val="24"/>
                <w:szCs w:val="24"/>
              </w:rPr>
              <w:t xml:space="preserve"> </w:t>
            </w:r>
          </w:p>
        </w:tc>
      </w:tr>
      <w:tr w:rsidR="00271DE7" w14:paraId="45AEBFF8" w14:textId="77777777">
        <w:trPr>
          <w:trHeight w:val="1460"/>
        </w:trPr>
        <w:tc>
          <w:tcPr>
            <w:tcW w:w="2263" w:type="dxa"/>
            <w:shd w:val="clear" w:color="auto" w:fill="auto"/>
          </w:tcPr>
          <w:p w14:paraId="00000098" w14:textId="4833A566"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Subject matter of the Processing</w:t>
            </w:r>
          </w:p>
        </w:tc>
        <w:tc>
          <w:tcPr>
            <w:tcW w:w="7423" w:type="dxa"/>
            <w:shd w:val="clear" w:color="auto" w:fill="auto"/>
          </w:tcPr>
          <w:p w14:paraId="0000009B" w14:textId="57E687A7" w:rsidR="00271DE7" w:rsidRPr="00C71C6C" w:rsidRDefault="00C71C6C" w:rsidP="003B53E5">
            <w:pPr>
              <w:spacing w:before="120" w:after="120"/>
              <w:rPr>
                <w:rFonts w:ascii="Arial" w:eastAsia="Arial" w:hAnsi="Arial" w:cs="Arial"/>
                <w:i/>
                <w:sz w:val="24"/>
                <w:szCs w:val="24"/>
              </w:rPr>
            </w:pPr>
            <w:r w:rsidRPr="00C71C6C">
              <w:rPr>
                <w:rFonts w:ascii="Arial" w:eastAsia="Arial" w:hAnsi="Arial" w:cs="Arial"/>
                <w:iCs/>
                <w:sz w:val="24"/>
                <w:szCs w:val="24"/>
              </w:rPr>
              <w:t>The</w:t>
            </w:r>
            <w:r w:rsidR="00281B0B" w:rsidRPr="00C71C6C">
              <w:rPr>
                <w:rFonts w:ascii="Arial" w:eastAsia="Arial" w:hAnsi="Arial" w:cs="Arial"/>
                <w:iCs/>
                <w:sz w:val="24"/>
                <w:szCs w:val="24"/>
              </w:rPr>
              <w:t xml:space="preserve"> processing is needed in order to ensure that the Processor can effectively deliver the contract to provide </w:t>
            </w:r>
            <w:r w:rsidRPr="00C71C6C">
              <w:rPr>
                <w:rFonts w:ascii="Arial" w:eastAsia="Arial" w:hAnsi="Arial" w:cs="Arial"/>
                <w:iCs/>
                <w:sz w:val="24"/>
                <w:szCs w:val="24"/>
              </w:rPr>
              <w:t>and Energy Trading and Risk Management system.</w:t>
            </w:r>
          </w:p>
        </w:tc>
      </w:tr>
      <w:tr w:rsidR="00271DE7" w14:paraId="10D8B837" w14:textId="77777777">
        <w:trPr>
          <w:trHeight w:val="1460"/>
        </w:trPr>
        <w:tc>
          <w:tcPr>
            <w:tcW w:w="2263"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000009D" w14:textId="0EC97A48" w:rsidR="00271DE7" w:rsidRDefault="00C95600" w:rsidP="003B53E5">
            <w:pPr>
              <w:spacing w:before="120" w:after="120"/>
              <w:rPr>
                <w:rFonts w:ascii="Arial" w:eastAsia="Arial" w:hAnsi="Arial" w:cs="Arial"/>
                <w:sz w:val="24"/>
                <w:szCs w:val="24"/>
              </w:rPr>
            </w:pPr>
            <w:r>
              <w:rPr>
                <w:rFonts w:ascii="Arial" w:eastAsia="Arial" w:hAnsi="Arial" w:cs="Arial"/>
                <w:sz w:val="24"/>
                <w:szCs w:val="24"/>
              </w:rPr>
              <w:t>For the period of the contract length</w:t>
            </w:r>
          </w:p>
        </w:tc>
      </w:tr>
      <w:tr w:rsidR="00271DE7" w14:paraId="69063CE7" w14:textId="77777777">
        <w:trPr>
          <w:trHeight w:val="1520"/>
        </w:trPr>
        <w:tc>
          <w:tcPr>
            <w:tcW w:w="2263"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697E4E9" w14:textId="77777777" w:rsidR="00C95600" w:rsidRPr="006E58D5" w:rsidRDefault="00C95600" w:rsidP="00C95600">
            <w:pPr>
              <w:rPr>
                <w:rFonts w:ascii="Arial" w:eastAsia="Arial" w:hAnsi="Arial" w:cs="Arial"/>
                <w:sz w:val="24"/>
                <w:szCs w:val="24"/>
              </w:rPr>
            </w:pPr>
            <w:r w:rsidRPr="006E58D5">
              <w:rPr>
                <w:rFonts w:ascii="Arial" w:eastAsia="Arial" w:hAnsi="Arial" w:cs="Arial"/>
                <w:sz w:val="24"/>
                <w:szCs w:val="24"/>
              </w:rPr>
              <w:t>For use of providing the service being supplied and in communications between the Buyer and Supplier employees such as e-mail and other electronic means</w:t>
            </w:r>
          </w:p>
          <w:p w14:paraId="000000A1" w14:textId="50EB869C" w:rsidR="00271DE7" w:rsidRDefault="00271DE7" w:rsidP="003B53E5">
            <w:pPr>
              <w:spacing w:before="120" w:after="120"/>
              <w:rPr>
                <w:rFonts w:ascii="Arial" w:eastAsia="Arial" w:hAnsi="Arial" w:cs="Arial"/>
                <w:sz w:val="24"/>
                <w:szCs w:val="24"/>
              </w:rPr>
            </w:pPr>
          </w:p>
        </w:tc>
      </w:tr>
      <w:tr w:rsidR="00271DE7" w14:paraId="630C59AD" w14:textId="77777777">
        <w:trPr>
          <w:trHeight w:val="1400"/>
        </w:trPr>
        <w:tc>
          <w:tcPr>
            <w:tcW w:w="2263"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7E7AD42A" w14:textId="77777777" w:rsidR="00C95600" w:rsidRPr="007B1E8A" w:rsidRDefault="00C95600" w:rsidP="00C95600">
            <w:pPr>
              <w:pBdr>
                <w:top w:val="nil"/>
                <w:left w:val="nil"/>
                <w:bottom w:val="nil"/>
                <w:right w:val="nil"/>
                <w:between w:val="nil"/>
              </w:pBdr>
              <w:spacing w:before="120" w:after="120"/>
              <w:rPr>
                <w:rFonts w:ascii="Arial" w:eastAsia="Arial" w:hAnsi="Arial" w:cs="Arial"/>
                <w:bCs/>
                <w:iCs/>
                <w:sz w:val="24"/>
                <w:szCs w:val="24"/>
              </w:rPr>
            </w:pPr>
            <w:r>
              <w:rPr>
                <w:rFonts w:ascii="Arial" w:eastAsia="Arial" w:hAnsi="Arial" w:cs="Arial"/>
                <w:bCs/>
                <w:iCs/>
                <w:sz w:val="24"/>
                <w:szCs w:val="24"/>
              </w:rPr>
              <w:t>Names, email addresses and telephone numbers of Buyer and Supplier employees</w:t>
            </w:r>
          </w:p>
          <w:p w14:paraId="000000A3" w14:textId="754BF820" w:rsidR="00271DE7" w:rsidRPr="007B1E8A" w:rsidRDefault="00271DE7" w:rsidP="003B53E5">
            <w:pPr>
              <w:spacing w:before="120" w:after="120"/>
              <w:rPr>
                <w:rFonts w:ascii="Arial" w:eastAsia="Arial" w:hAnsi="Arial" w:cs="Arial"/>
                <w:iCs/>
                <w:sz w:val="24"/>
                <w:szCs w:val="24"/>
                <w:highlight w:val="yellow"/>
              </w:rPr>
            </w:pPr>
          </w:p>
        </w:tc>
      </w:tr>
      <w:tr w:rsidR="00C95600" w14:paraId="6C3DC340" w14:textId="77777777">
        <w:trPr>
          <w:trHeight w:val="1560"/>
        </w:trPr>
        <w:tc>
          <w:tcPr>
            <w:tcW w:w="2263" w:type="dxa"/>
            <w:shd w:val="clear" w:color="auto" w:fill="auto"/>
          </w:tcPr>
          <w:p w14:paraId="000000A4" w14:textId="505929A8" w:rsidR="00C95600" w:rsidRDefault="00C95600" w:rsidP="00C95600">
            <w:pPr>
              <w:spacing w:before="120" w:after="120"/>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00000A5" w14:textId="0AA5822B" w:rsidR="00C95600" w:rsidRPr="007B1E8A" w:rsidRDefault="00C95600" w:rsidP="00C95600">
            <w:pPr>
              <w:spacing w:before="120" w:after="120"/>
              <w:rPr>
                <w:rFonts w:ascii="Arial" w:eastAsia="Arial" w:hAnsi="Arial" w:cs="Arial"/>
                <w:iCs/>
                <w:sz w:val="24"/>
                <w:szCs w:val="24"/>
                <w:highlight w:val="yellow"/>
              </w:rPr>
            </w:pPr>
            <w:r w:rsidRPr="00885919">
              <w:rPr>
                <w:rFonts w:ascii="Arial" w:eastAsia="Arial" w:hAnsi="Arial" w:cs="Arial"/>
                <w:sz w:val="24"/>
                <w:szCs w:val="24"/>
              </w:rPr>
              <w:t xml:space="preserve">All Buyer and Supplier staff including permanent and temporary employees. </w:t>
            </w:r>
          </w:p>
        </w:tc>
      </w:tr>
      <w:tr w:rsidR="00C95600" w14:paraId="7387C896" w14:textId="77777777">
        <w:trPr>
          <w:trHeight w:val="1660"/>
        </w:trPr>
        <w:tc>
          <w:tcPr>
            <w:tcW w:w="2263" w:type="dxa"/>
            <w:shd w:val="clear" w:color="auto" w:fill="auto"/>
          </w:tcPr>
          <w:p w14:paraId="000000A6" w14:textId="1D14BEDE" w:rsidR="00C95600" w:rsidRDefault="00C95600" w:rsidP="00C95600">
            <w:pPr>
              <w:spacing w:before="120" w:after="120"/>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A7" w14:textId="416449C0" w:rsidR="00C95600" w:rsidRDefault="00C95600" w:rsidP="00C95600">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000000A8" w14:textId="103209C3" w:rsidR="00C95600" w:rsidRPr="007B1E8A" w:rsidRDefault="00C95600" w:rsidP="00C95600">
            <w:pPr>
              <w:spacing w:before="120" w:after="120"/>
              <w:rPr>
                <w:rFonts w:ascii="Arial" w:eastAsia="Arial" w:hAnsi="Arial" w:cs="Arial"/>
                <w:iCs/>
                <w:sz w:val="24"/>
                <w:szCs w:val="24"/>
                <w:highlight w:val="yellow"/>
              </w:rPr>
            </w:pPr>
            <w:r>
              <w:rPr>
                <w:rFonts w:ascii="Arial" w:eastAsia="Arial" w:hAnsi="Arial" w:cs="Arial"/>
                <w:sz w:val="24"/>
                <w:szCs w:val="24"/>
              </w:rPr>
              <w:t>Can be kept for the d</w:t>
            </w:r>
            <w:r w:rsidRPr="00885919">
              <w:rPr>
                <w:rFonts w:ascii="Arial" w:eastAsia="Arial" w:hAnsi="Arial" w:cs="Arial"/>
                <w:sz w:val="24"/>
                <w:szCs w:val="24"/>
              </w:rPr>
              <w:t>ur</w:t>
            </w:r>
            <w:r>
              <w:rPr>
                <w:rFonts w:ascii="Arial" w:eastAsia="Arial" w:hAnsi="Arial" w:cs="Arial"/>
                <w:sz w:val="24"/>
                <w:szCs w:val="24"/>
              </w:rPr>
              <w:t>ation of</w:t>
            </w:r>
            <w:r w:rsidRPr="00885919">
              <w:rPr>
                <w:rFonts w:ascii="Arial" w:eastAsia="Arial" w:hAnsi="Arial" w:cs="Arial"/>
                <w:sz w:val="24"/>
                <w:szCs w:val="24"/>
              </w:rPr>
              <w:t xml:space="preserve"> the contract period and</w:t>
            </w:r>
            <w:r>
              <w:rPr>
                <w:rFonts w:ascii="Arial" w:eastAsia="Arial" w:hAnsi="Arial" w:cs="Arial"/>
                <w:sz w:val="24"/>
                <w:szCs w:val="24"/>
              </w:rPr>
              <w:t xml:space="preserve"> destroyed and/or retuned</w:t>
            </w:r>
            <w:r w:rsidRPr="00885919">
              <w:rPr>
                <w:rFonts w:ascii="Arial" w:eastAsia="Arial" w:hAnsi="Arial" w:cs="Arial"/>
                <w:sz w:val="24"/>
                <w:szCs w:val="24"/>
              </w:rPr>
              <w:t xml:space="preserve"> with six months of contract cessation</w:t>
            </w:r>
          </w:p>
        </w:tc>
      </w:tr>
      <w:tr w:rsidR="00271DE7" w14:paraId="378887F3" w14:textId="77777777">
        <w:trPr>
          <w:trHeight w:val="1660"/>
        </w:trPr>
        <w:tc>
          <w:tcPr>
            <w:tcW w:w="2263" w:type="dxa"/>
            <w:shd w:val="clear" w:color="auto" w:fill="auto"/>
          </w:tcPr>
          <w:p w14:paraId="000000A9" w14:textId="68779301"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 xml:space="preserve">Locations at which the Supplier and/or its Sub-contractors process Personal Data under this Contract and </w:t>
            </w:r>
            <w:r w:rsidR="004D7A45">
              <w:rPr>
                <w:rFonts w:ascii="Arial" w:eastAsia="Arial" w:hAnsi="Arial" w:cs="Arial"/>
                <w:sz w:val="24"/>
                <w:szCs w:val="24"/>
              </w:rPr>
              <w:t>i</w:t>
            </w:r>
            <w:r>
              <w:rPr>
                <w:rFonts w:ascii="Arial" w:eastAsia="Arial" w:hAnsi="Arial" w:cs="Arial"/>
                <w:sz w:val="24"/>
                <w:szCs w:val="24"/>
              </w:rPr>
              <w:t>nternational transfers and legal gateway</w:t>
            </w:r>
          </w:p>
        </w:tc>
        <w:tc>
          <w:tcPr>
            <w:tcW w:w="7423" w:type="dxa"/>
            <w:shd w:val="clear" w:color="auto" w:fill="auto"/>
          </w:tcPr>
          <w:p w14:paraId="000000AA" w14:textId="786EE95C" w:rsidR="00271DE7" w:rsidRDefault="00281B0B" w:rsidP="003B53E5">
            <w:pPr>
              <w:spacing w:before="120" w:after="120"/>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Clearly</w:t>
            </w:r>
            <w:r>
              <w:rPr>
                <w:rFonts w:ascii="Arial" w:eastAsia="Arial" w:hAnsi="Arial" w:cs="Arial"/>
                <w:sz w:val="24"/>
                <w:szCs w:val="24"/>
                <w:highlight w:val="yellow"/>
              </w:rPr>
              <w:t xml:space="preserve"> identify each location, explain where geographically personal data may be stored or accessed from. Explain the legal gateway you are relying on to export the data e.g. adequacy decision, EU SCCs, UK IDTA. Annex any SCCs or IDTA to this contract]</w:t>
            </w:r>
          </w:p>
        </w:tc>
      </w:tr>
      <w:tr w:rsidR="00271DE7" w14:paraId="7E31C066" w14:textId="77777777">
        <w:trPr>
          <w:trHeight w:val="1660"/>
        </w:trPr>
        <w:tc>
          <w:tcPr>
            <w:tcW w:w="2263" w:type="dxa"/>
            <w:shd w:val="clear" w:color="auto" w:fill="auto"/>
          </w:tcPr>
          <w:p w14:paraId="000000AB" w14:textId="51FB706C" w:rsidR="00271DE7" w:rsidRDefault="00281B0B" w:rsidP="003B53E5">
            <w:pPr>
              <w:spacing w:before="120" w:after="120"/>
              <w:rPr>
                <w:rFonts w:ascii="Arial" w:eastAsia="Arial" w:hAnsi="Arial" w:cs="Arial"/>
                <w:sz w:val="24"/>
                <w:szCs w:val="24"/>
              </w:rPr>
            </w:pPr>
            <w:r>
              <w:rPr>
                <w:rFonts w:ascii="Arial" w:eastAsia="Arial" w:hAnsi="Arial" w:cs="Arial"/>
                <w:sz w:val="24"/>
                <w:szCs w:val="24"/>
              </w:rPr>
              <w:t>Protective Measures that the Supplier and, where applicable, its Sub-contractors have implemented to protect Personal Data processed under this Contract Agreement against a breach of security (insofar as that breach of security relates to data) or a Data Loss Event</w:t>
            </w:r>
          </w:p>
        </w:tc>
        <w:tc>
          <w:tcPr>
            <w:tcW w:w="7423" w:type="dxa"/>
            <w:shd w:val="clear" w:color="auto" w:fill="auto"/>
          </w:tcPr>
          <w:p w14:paraId="000000AC" w14:textId="500BBB05" w:rsidR="00271DE7" w:rsidRDefault="00281B0B" w:rsidP="003B53E5">
            <w:pPr>
              <w:spacing w:before="120" w:after="120"/>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Please</w:t>
            </w:r>
            <w:r>
              <w:rPr>
                <w:rFonts w:ascii="Arial" w:eastAsia="Arial" w:hAnsi="Arial" w:cs="Arial"/>
                <w:sz w:val="24"/>
                <w:szCs w:val="24"/>
                <w:highlight w:val="yellow"/>
              </w:rPr>
              <w:t xml:space="preserve"> be as specific as possible]</w:t>
            </w:r>
          </w:p>
        </w:tc>
      </w:tr>
    </w:tbl>
    <w:p w14:paraId="000000AD" w14:textId="40F132D8" w:rsidR="00271DE7" w:rsidRDefault="00271DE7">
      <w:pPr>
        <w:rPr>
          <w:rFonts w:ascii="Arial" w:eastAsia="Arial" w:hAnsi="Arial" w:cs="Arial"/>
          <w:b/>
          <w:sz w:val="24"/>
          <w:szCs w:val="24"/>
        </w:rPr>
      </w:pPr>
    </w:p>
    <w:p w14:paraId="000000AF" w14:textId="4E4F767D"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4" w:name="Ann_2"/>
      <w:r>
        <w:rPr>
          <w:rFonts w:ascii="Arial" w:eastAsia="Arial" w:hAnsi="Arial" w:cs="Arial"/>
          <w:b/>
          <w:color w:val="000000"/>
          <w:sz w:val="36"/>
          <w:szCs w:val="36"/>
        </w:rPr>
        <w:t>2</w:t>
      </w:r>
      <w:bookmarkEnd w:id="34"/>
      <w:r>
        <w:rPr>
          <w:rFonts w:ascii="Arial" w:eastAsia="Arial" w:hAnsi="Arial" w:cs="Arial"/>
          <w:b/>
          <w:color w:val="000000"/>
          <w:sz w:val="36"/>
          <w:szCs w:val="36"/>
        </w:rPr>
        <w:t xml:space="preserve"> - Joint Controller Agreement</w:t>
      </w:r>
    </w:p>
    <w:p w14:paraId="000000B0" w14:textId="3A8F6DC1"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Joint Controller Status and Allocation of Responsibilities </w:t>
      </w:r>
    </w:p>
    <w:p w14:paraId="000000B1" w14:textId="53080201" w:rsidR="00271DE7" w:rsidRDefault="00281B0B">
      <w:pPr>
        <w:numPr>
          <w:ilvl w:val="1"/>
          <w:numId w:val="5"/>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With respect to Personal Data under Joint Control of the Parties, the Parties envisage that they shall each be a Data Controller in respect of that Personal Data in accordance with the terms of this Annex </w:t>
      </w:r>
      <w:r w:rsidR="003B53E5" w:rsidRPr="003B53E5">
        <w:rPr>
          <w:rFonts w:ascii="Arial" w:eastAsia="Arial" w:hAnsi="Arial" w:cs="Arial"/>
          <w:color w:val="000000"/>
          <w:sz w:val="24"/>
          <w:szCs w:val="24"/>
        </w:rPr>
        <w:fldChar w:fldCharType="begin"/>
      </w:r>
      <w:r w:rsidR="003B53E5" w:rsidRPr="003B53E5">
        <w:rPr>
          <w:rFonts w:ascii="Arial" w:eastAsia="Arial" w:hAnsi="Arial" w:cs="Arial"/>
          <w:color w:val="000000"/>
          <w:sz w:val="24"/>
          <w:szCs w:val="24"/>
        </w:rPr>
        <w:instrText xml:space="preserve"> REF Ann_2 \h  \* MERGEFORMAT </w:instrText>
      </w:r>
      <w:r w:rsidR="003B53E5" w:rsidRPr="003B53E5">
        <w:rPr>
          <w:rFonts w:ascii="Arial" w:eastAsia="Arial" w:hAnsi="Arial" w:cs="Arial"/>
          <w:color w:val="000000"/>
          <w:sz w:val="24"/>
          <w:szCs w:val="24"/>
        </w:rPr>
      </w:r>
      <w:r w:rsidR="003B53E5" w:rsidRPr="003B53E5">
        <w:rPr>
          <w:rFonts w:ascii="Arial" w:eastAsia="Arial" w:hAnsi="Arial" w:cs="Arial"/>
          <w:color w:val="000000"/>
          <w:sz w:val="24"/>
          <w:szCs w:val="24"/>
        </w:rPr>
        <w:fldChar w:fldCharType="separate"/>
      </w:r>
      <w:r w:rsidR="003B53E5" w:rsidRPr="003B53E5">
        <w:rPr>
          <w:rFonts w:ascii="Arial" w:eastAsia="Arial" w:hAnsi="Arial" w:cs="Arial"/>
          <w:color w:val="000000"/>
          <w:sz w:val="24"/>
          <w:szCs w:val="24"/>
        </w:rPr>
        <w:t>2</w:t>
      </w:r>
      <w:r w:rsidR="003B53E5" w:rsidRPr="003B53E5">
        <w:rPr>
          <w:rFonts w:ascii="Arial" w:eastAsia="Arial" w:hAnsi="Arial" w:cs="Arial"/>
          <w:color w:val="000000"/>
          <w:sz w:val="24"/>
          <w:szCs w:val="24"/>
        </w:rPr>
        <w:fldChar w:fldCharType="end"/>
      </w:r>
      <w:r>
        <w:rPr>
          <w:rFonts w:ascii="Arial" w:eastAsia="Arial" w:hAnsi="Arial" w:cs="Arial"/>
          <w:color w:val="000000"/>
          <w:sz w:val="24"/>
          <w:szCs w:val="24"/>
        </w:rPr>
        <w:t xml:space="preserve"> (Joint Controller Agreement) in replacement of Paragraph </w:t>
      </w:r>
      <w:r w:rsidR="003B53E5">
        <w:rPr>
          <w:rFonts w:ascii="Arial" w:eastAsia="Arial" w:hAnsi="Arial" w:cs="Arial"/>
          <w:color w:val="000000"/>
          <w:sz w:val="24"/>
          <w:szCs w:val="24"/>
        </w:rPr>
        <w:fldChar w:fldCharType="begin"/>
      </w:r>
      <w:r w:rsidR="003B53E5">
        <w:rPr>
          <w:rFonts w:ascii="Arial" w:eastAsia="Arial" w:hAnsi="Arial" w:cs="Arial"/>
          <w:color w:val="000000"/>
          <w:sz w:val="24"/>
          <w:szCs w:val="24"/>
        </w:rPr>
        <w:instrText xml:space="preserve"> REF _Ref141095370 \n \h </w:instrText>
      </w:r>
      <w:r w:rsidR="003B53E5">
        <w:rPr>
          <w:rFonts w:ascii="Arial" w:eastAsia="Arial" w:hAnsi="Arial" w:cs="Arial"/>
          <w:color w:val="000000"/>
          <w:sz w:val="24"/>
          <w:szCs w:val="24"/>
        </w:rPr>
      </w:r>
      <w:r w:rsidR="003B53E5">
        <w:rPr>
          <w:rFonts w:ascii="Arial" w:eastAsia="Arial" w:hAnsi="Arial" w:cs="Arial"/>
          <w:color w:val="000000"/>
          <w:sz w:val="24"/>
          <w:szCs w:val="24"/>
        </w:rPr>
        <w:fldChar w:fldCharType="separate"/>
      </w:r>
      <w:r w:rsidR="003B53E5">
        <w:rPr>
          <w:rFonts w:ascii="Arial" w:eastAsia="Arial" w:hAnsi="Arial" w:cs="Arial"/>
          <w:color w:val="000000"/>
          <w:sz w:val="24"/>
          <w:szCs w:val="24"/>
        </w:rPr>
        <w:t>2</w:t>
      </w:r>
      <w:r w:rsidR="003B53E5">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(Where one Party is Controller and the other Party is Processor) and Paragraphs </w:t>
      </w:r>
      <w:r w:rsidR="003B53E5">
        <w:rPr>
          <w:rFonts w:ascii="Arial" w:eastAsia="Arial" w:hAnsi="Arial" w:cs="Arial"/>
          <w:color w:val="000000"/>
          <w:sz w:val="24"/>
          <w:szCs w:val="24"/>
        </w:rPr>
        <w:fldChar w:fldCharType="begin"/>
      </w:r>
      <w:r w:rsidR="003B53E5">
        <w:rPr>
          <w:rFonts w:ascii="Arial" w:eastAsia="Arial" w:hAnsi="Arial" w:cs="Arial"/>
          <w:color w:val="000000"/>
          <w:sz w:val="24"/>
          <w:szCs w:val="24"/>
        </w:rPr>
        <w:instrText xml:space="preserve"> REF _Ref141095096 \n \h </w:instrText>
      </w:r>
      <w:r w:rsidR="003B53E5">
        <w:rPr>
          <w:rFonts w:ascii="Arial" w:eastAsia="Arial" w:hAnsi="Arial" w:cs="Arial"/>
          <w:color w:val="000000"/>
          <w:sz w:val="24"/>
          <w:szCs w:val="24"/>
        </w:rPr>
      </w:r>
      <w:r w:rsidR="003B53E5">
        <w:rPr>
          <w:rFonts w:ascii="Arial" w:eastAsia="Arial" w:hAnsi="Arial" w:cs="Arial"/>
          <w:color w:val="000000"/>
          <w:sz w:val="24"/>
          <w:szCs w:val="24"/>
        </w:rPr>
        <w:fldChar w:fldCharType="separate"/>
      </w:r>
      <w:r w:rsidR="003B53E5">
        <w:rPr>
          <w:rFonts w:ascii="Arial" w:eastAsia="Arial" w:hAnsi="Arial" w:cs="Arial"/>
          <w:color w:val="000000"/>
          <w:sz w:val="24"/>
          <w:szCs w:val="24"/>
        </w:rPr>
        <w:t>4.2</w:t>
      </w:r>
      <w:r w:rsidR="003B53E5">
        <w:rPr>
          <w:rFonts w:ascii="Arial" w:eastAsia="Arial" w:hAnsi="Arial" w:cs="Arial"/>
          <w:color w:val="000000"/>
          <w:sz w:val="24"/>
          <w:szCs w:val="24"/>
        </w:rPr>
        <w:fldChar w:fldCharType="end"/>
      </w:r>
      <w:r>
        <w:rPr>
          <w:rFonts w:ascii="Arial" w:eastAsia="Arial" w:hAnsi="Arial" w:cs="Arial"/>
          <w:color w:val="000000"/>
          <w:sz w:val="24"/>
          <w:szCs w:val="24"/>
        </w:rPr>
        <w:t>-</w:t>
      </w:r>
      <w:r w:rsidR="003B53E5">
        <w:rPr>
          <w:rFonts w:ascii="Arial" w:eastAsia="Arial" w:hAnsi="Arial" w:cs="Arial"/>
          <w:color w:val="000000"/>
          <w:sz w:val="24"/>
          <w:szCs w:val="24"/>
        </w:rPr>
        <w:fldChar w:fldCharType="begin"/>
      </w:r>
      <w:r w:rsidR="003B53E5">
        <w:rPr>
          <w:rFonts w:ascii="Arial" w:eastAsia="Arial" w:hAnsi="Arial" w:cs="Arial"/>
          <w:color w:val="000000"/>
          <w:sz w:val="24"/>
          <w:szCs w:val="24"/>
        </w:rPr>
        <w:instrText xml:space="preserve"> REF _Ref141095216 \n \h </w:instrText>
      </w:r>
      <w:r w:rsidR="003B53E5">
        <w:rPr>
          <w:rFonts w:ascii="Arial" w:eastAsia="Arial" w:hAnsi="Arial" w:cs="Arial"/>
          <w:color w:val="000000"/>
          <w:sz w:val="24"/>
          <w:szCs w:val="24"/>
        </w:rPr>
      </w:r>
      <w:r w:rsidR="003B53E5">
        <w:rPr>
          <w:rFonts w:ascii="Arial" w:eastAsia="Arial" w:hAnsi="Arial" w:cs="Arial"/>
          <w:color w:val="000000"/>
          <w:sz w:val="24"/>
          <w:szCs w:val="24"/>
        </w:rPr>
        <w:fldChar w:fldCharType="separate"/>
      </w:r>
      <w:r w:rsidR="003B53E5">
        <w:rPr>
          <w:rFonts w:ascii="Arial" w:eastAsia="Arial" w:hAnsi="Arial" w:cs="Arial"/>
          <w:color w:val="000000"/>
          <w:sz w:val="24"/>
          <w:szCs w:val="24"/>
        </w:rPr>
        <w:t>4.12</w:t>
      </w:r>
      <w:r w:rsidR="003B53E5">
        <w:rPr>
          <w:rFonts w:ascii="Arial" w:eastAsia="Arial" w:hAnsi="Arial" w:cs="Arial"/>
          <w:color w:val="000000"/>
          <w:sz w:val="24"/>
          <w:szCs w:val="24"/>
        </w:rPr>
        <w:fldChar w:fldCharType="end"/>
      </w:r>
      <w:r w:rsidR="003B53E5">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(Independent Controllers of Personal Data). Accordingly, the Parties each undertake to comply with the applicable Data Protection Legislation in respect of their Processing of such Personal Data as Data Controllers. </w:t>
      </w:r>
    </w:p>
    <w:p w14:paraId="000000B2" w14:textId="2061BC20" w:rsidR="00271DE7" w:rsidRDefault="00281B0B">
      <w:pPr>
        <w:keepNext/>
        <w:numPr>
          <w:ilvl w:val="1"/>
          <w:numId w:val="5"/>
        </w:numPr>
        <w:pBdr>
          <w:top w:val="nil"/>
          <w:left w:val="nil"/>
          <w:bottom w:val="nil"/>
          <w:right w:val="nil"/>
          <w:between w:val="nil"/>
        </w:pBdr>
        <w:spacing w:before="120" w:after="120" w:line="240" w:lineRule="auto"/>
      </w:pPr>
      <w:bookmarkStart w:id="35" w:name="_heading=h.17dp8vu" w:colFirst="0" w:colLast="0"/>
      <w:bookmarkStart w:id="36" w:name="_Ref141095435"/>
      <w:bookmarkEnd w:id="35"/>
      <w:r>
        <w:rPr>
          <w:rFonts w:ascii="Arial" w:eastAsia="Arial" w:hAnsi="Arial" w:cs="Arial"/>
          <w:color w:val="000000"/>
          <w:sz w:val="24"/>
          <w:szCs w:val="24"/>
        </w:rPr>
        <w:t>The</w:t>
      </w:r>
      <w:r>
        <w:rPr>
          <w:rFonts w:ascii="Arial" w:eastAsia="Arial" w:hAnsi="Arial" w:cs="Arial"/>
          <w:color w:val="000000"/>
          <w:sz w:val="24"/>
          <w:szCs w:val="24"/>
          <w:highlight w:val="white"/>
        </w:rPr>
        <w:t xml:space="preserve"> Parties agree that the</w:t>
      </w:r>
      <w:bookmarkEnd w:id="36"/>
      <w:r w:rsidR="00C71C6C">
        <w:rPr>
          <w:rFonts w:ascii="Arial" w:eastAsia="Arial" w:hAnsi="Arial" w:cs="Arial"/>
          <w:color w:val="000000"/>
          <w:sz w:val="24"/>
          <w:szCs w:val="24"/>
          <w:highlight w:val="white"/>
        </w:rPr>
        <w:t xml:space="preserve"> Supplier:</w:t>
      </w:r>
      <w:r>
        <w:rPr>
          <w:rFonts w:ascii="Arial" w:eastAsia="Arial" w:hAnsi="Arial" w:cs="Arial"/>
          <w:color w:val="000000"/>
          <w:sz w:val="24"/>
          <w:szCs w:val="24"/>
          <w:highlight w:val="yellow"/>
        </w:rPr>
        <w:t xml:space="preserve"> </w:t>
      </w:r>
    </w:p>
    <w:p w14:paraId="000000B3" w14:textId="3614BEC5" w:rsidR="00271DE7" w:rsidRPr="00D54C6E" w:rsidRDefault="00281B0B">
      <w:pPr>
        <w:numPr>
          <w:ilvl w:val="2"/>
          <w:numId w:val="5"/>
        </w:numPr>
        <w:pBdr>
          <w:top w:val="nil"/>
          <w:left w:val="nil"/>
          <w:bottom w:val="nil"/>
          <w:right w:val="nil"/>
          <w:between w:val="nil"/>
        </w:pBdr>
        <w:spacing w:before="120" w:after="120" w:line="240" w:lineRule="auto"/>
        <w:rPr>
          <w:color w:val="000000"/>
          <w:sz w:val="24"/>
          <w:szCs w:val="24"/>
          <w:highlight w:val="white"/>
        </w:rPr>
      </w:pPr>
      <w:r>
        <w:rPr>
          <w:rFonts w:ascii="Arial" w:eastAsia="Arial" w:hAnsi="Arial" w:cs="Arial"/>
          <w:color w:val="000000"/>
          <w:sz w:val="24"/>
          <w:szCs w:val="24"/>
          <w:highlight w:val="white"/>
        </w:rPr>
        <w:t>is the exclusive point of contact for Data Subjects and is responsible for using best endeavours to comply with the UK GDPR regarding the exercise by Data Subjects of their rights under the UK GDPR;</w:t>
      </w:r>
    </w:p>
    <w:p w14:paraId="000000B4" w14:textId="7061328C" w:rsidR="00271DE7" w:rsidRPr="00D54C6E" w:rsidRDefault="00281B0B">
      <w:pPr>
        <w:numPr>
          <w:ilvl w:val="2"/>
          <w:numId w:val="5"/>
        </w:numPr>
        <w:pBdr>
          <w:top w:val="nil"/>
          <w:left w:val="nil"/>
          <w:bottom w:val="nil"/>
          <w:right w:val="nil"/>
          <w:between w:val="nil"/>
        </w:pBdr>
        <w:spacing w:before="120" w:after="120" w:line="240" w:lineRule="auto"/>
        <w:rPr>
          <w:color w:val="000000"/>
          <w:sz w:val="24"/>
          <w:szCs w:val="24"/>
          <w:highlight w:val="white"/>
        </w:rPr>
      </w:pPr>
      <w:r>
        <w:rPr>
          <w:rFonts w:ascii="Arial" w:eastAsia="Arial" w:hAnsi="Arial" w:cs="Arial"/>
          <w:color w:val="000000"/>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000000B5" w14:textId="0842A577" w:rsidR="00271DE7" w:rsidRPr="00D54C6E" w:rsidRDefault="00281B0B">
      <w:pPr>
        <w:numPr>
          <w:ilvl w:val="2"/>
          <w:numId w:val="5"/>
        </w:numPr>
        <w:pBdr>
          <w:top w:val="nil"/>
          <w:left w:val="nil"/>
          <w:bottom w:val="nil"/>
          <w:right w:val="nil"/>
          <w:between w:val="nil"/>
        </w:pBdr>
        <w:spacing w:before="120" w:after="120" w:line="240" w:lineRule="auto"/>
        <w:rPr>
          <w:color w:val="000000"/>
          <w:sz w:val="24"/>
          <w:szCs w:val="24"/>
          <w:highlight w:val="white"/>
        </w:rPr>
      </w:pPr>
      <w:r>
        <w:rPr>
          <w:rFonts w:ascii="Arial" w:eastAsia="Arial" w:hAnsi="Arial" w:cs="Arial"/>
          <w:color w:val="000000"/>
          <w:sz w:val="24"/>
          <w:szCs w:val="24"/>
          <w:highlight w:val="white"/>
        </w:rPr>
        <w:t>is solely responsible for the Parties’ compliance with all duties to provide information to Data Subjects under Articles 13 and 14 of the UK GDPR;</w:t>
      </w:r>
    </w:p>
    <w:p w14:paraId="000000B6" w14:textId="6C3B7E8F" w:rsidR="00271DE7" w:rsidRPr="00D54C6E" w:rsidRDefault="00281B0B">
      <w:pPr>
        <w:numPr>
          <w:ilvl w:val="2"/>
          <w:numId w:val="5"/>
        </w:numPr>
        <w:pBdr>
          <w:top w:val="nil"/>
          <w:left w:val="nil"/>
          <w:bottom w:val="nil"/>
          <w:right w:val="nil"/>
          <w:between w:val="nil"/>
        </w:pBdr>
        <w:spacing w:before="120" w:after="120" w:line="240" w:lineRule="auto"/>
        <w:rPr>
          <w:color w:val="000000"/>
          <w:sz w:val="24"/>
          <w:szCs w:val="24"/>
          <w:highlight w:val="white"/>
        </w:rPr>
      </w:pPr>
      <w:r>
        <w:rPr>
          <w:rFonts w:ascii="Arial" w:eastAsia="Arial" w:hAnsi="Arial" w:cs="Arial"/>
          <w:color w:val="000000"/>
          <w:sz w:val="24"/>
          <w:szCs w:val="24"/>
          <w:highlight w:val="white"/>
        </w:rPr>
        <w:t>is responsible for obtaining the informed consent of Data Subjects, in accordance with the UK GDPR, for Processing in connection with the Services where consent is the relevant legal basis for that Processing; and</w:t>
      </w:r>
    </w:p>
    <w:p w14:paraId="000000B7" w14:textId="08DF94A5" w:rsidR="00271DE7" w:rsidRDefault="00281B0B">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white"/>
        </w:rPr>
        <w:t xml:space="preserve">shall make available to Data Subjects the essence of this Annex (and notify them of any changes to it) concerning the allocation of responsibilities as Joint </w:t>
      </w:r>
      <w:r w:rsidRPr="00D54C6E">
        <w:rPr>
          <w:rFonts w:ascii="Arial" w:eastAsia="Arial" w:hAnsi="Arial" w:cs="Arial"/>
          <w:color w:val="000000"/>
          <w:sz w:val="24"/>
          <w:szCs w:val="24"/>
        </w:rPr>
        <w:t>Controller</w:t>
      </w:r>
      <w:r>
        <w:rPr>
          <w:rFonts w:ascii="Arial" w:eastAsia="Arial" w:hAnsi="Arial" w:cs="Arial"/>
          <w:color w:val="000000"/>
          <w:sz w:val="24"/>
          <w:szCs w:val="24"/>
        </w:rPr>
        <w:t xml:space="preserve"> and its role as exclusive point of contact, the Parties having used their best endeavours to agree the terms of that essence</w:t>
      </w:r>
      <w:r>
        <w:rPr>
          <w:rFonts w:ascii="Arial" w:eastAsia="Arial" w:hAnsi="Arial" w:cs="Arial"/>
          <w:color w:val="000000"/>
          <w:sz w:val="24"/>
          <w:szCs w:val="24"/>
          <w:highlight w:val="white"/>
        </w:rPr>
        <w:t>. This must be outlined in the</w:t>
      </w:r>
      <w:r w:rsidR="00C71C6C">
        <w:rPr>
          <w:rFonts w:ascii="Arial" w:eastAsia="Arial" w:hAnsi="Arial" w:cs="Arial"/>
          <w:color w:val="000000"/>
          <w:sz w:val="24"/>
          <w:szCs w:val="24"/>
          <w:highlight w:val="white"/>
        </w:rPr>
        <w:t xml:space="preserve"> Supplier’s </w:t>
      </w:r>
      <w:r>
        <w:rPr>
          <w:rFonts w:ascii="Arial" w:eastAsia="Arial" w:hAnsi="Arial" w:cs="Arial"/>
          <w:color w:val="000000"/>
          <w:sz w:val="24"/>
          <w:szCs w:val="24"/>
          <w:highlight w:val="white"/>
        </w:rPr>
        <w:t xml:space="preserve">privacy policy </w:t>
      </w:r>
      <w:r>
        <w:rPr>
          <w:rFonts w:ascii="Arial" w:eastAsia="Arial" w:hAnsi="Arial" w:cs="Arial"/>
          <w:color w:val="000000"/>
          <w:sz w:val="24"/>
          <w:szCs w:val="24"/>
        </w:rPr>
        <w:t>(which must be readily available by hyperlink or otherwise on all of its public facing services and marketing).</w:t>
      </w:r>
    </w:p>
    <w:p w14:paraId="000000B8" w14:textId="6BB9BA2E" w:rsidR="00271DE7" w:rsidRDefault="00281B0B">
      <w:pPr>
        <w:numPr>
          <w:ilvl w:val="1"/>
          <w:numId w:val="5"/>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Notwithstanding the terms of Paragraph </w:t>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_Ref141095435 \n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t>1.2</w:t>
      </w:r>
      <w:r w:rsidR="00985C45">
        <w:rPr>
          <w:rFonts w:ascii="Arial" w:eastAsia="Arial" w:hAnsi="Arial" w:cs="Arial"/>
          <w:color w:val="000000"/>
          <w:sz w:val="24"/>
          <w:szCs w:val="24"/>
        </w:rPr>
        <w:fldChar w:fldCharType="end"/>
      </w:r>
      <w:r>
        <w:rPr>
          <w:rFonts w:ascii="Arial" w:eastAsia="Arial" w:hAnsi="Arial" w:cs="Arial"/>
          <w:color w:val="000000"/>
          <w:sz w:val="24"/>
          <w:szCs w:val="24"/>
        </w:rPr>
        <w:t xml:space="preserve">, the Parties acknowledge that a Data Subject </w:t>
      </w:r>
      <w:r>
        <w:rPr>
          <w:rFonts w:ascii="Arial" w:eastAsia="Arial" w:hAnsi="Arial" w:cs="Arial"/>
          <w:color w:val="000000"/>
          <w:sz w:val="24"/>
          <w:szCs w:val="24"/>
          <w:highlight w:val="white"/>
        </w:rPr>
        <w:t>has</w:t>
      </w:r>
      <w:r>
        <w:rPr>
          <w:rFonts w:ascii="Arial" w:eastAsia="Arial" w:hAnsi="Arial" w:cs="Arial"/>
          <w:color w:val="000000"/>
          <w:sz w:val="24"/>
          <w:szCs w:val="24"/>
        </w:rPr>
        <w:t xml:space="preserve"> the right to exercise their legal rights under the Data Protection Legislation as against the relevant Party as Controller.</w:t>
      </w:r>
    </w:p>
    <w:p w14:paraId="000000B9" w14:textId="17543617"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Undertakings of both Parties</w:t>
      </w:r>
    </w:p>
    <w:p w14:paraId="000000BA" w14:textId="51699B07"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Supplier and the Buyer each undertake that they shall: </w:t>
      </w:r>
    </w:p>
    <w:p w14:paraId="000000BB" w14:textId="7606CFA4" w:rsidR="00271DE7" w:rsidRDefault="00281B0B" w:rsidP="00D54C6E">
      <w:pPr>
        <w:keepNext/>
        <w:numPr>
          <w:ilvl w:val="2"/>
          <w:numId w:val="6"/>
        </w:numPr>
        <w:pBdr>
          <w:top w:val="nil"/>
          <w:left w:val="nil"/>
          <w:bottom w:val="nil"/>
          <w:right w:val="nil"/>
          <w:between w:val="nil"/>
        </w:pBdr>
        <w:spacing w:before="120" w:after="120" w:line="240" w:lineRule="auto"/>
        <w:rPr>
          <w:rFonts w:ascii="Arial" w:eastAsia="Arial" w:hAnsi="Arial" w:cs="Arial"/>
          <w:strike/>
          <w:color w:val="000000"/>
          <w:sz w:val="24"/>
          <w:szCs w:val="24"/>
        </w:rPr>
      </w:pPr>
      <w:bookmarkStart w:id="37" w:name="_Ref141095518"/>
      <w:r>
        <w:rPr>
          <w:rFonts w:ascii="Arial" w:eastAsia="Arial" w:hAnsi="Arial" w:cs="Arial"/>
          <w:color w:val="000000"/>
          <w:sz w:val="24"/>
          <w:szCs w:val="24"/>
        </w:rPr>
        <w:t>report to the other Party every</w:t>
      </w:r>
      <w:r w:rsidR="00C95600">
        <w:rPr>
          <w:rFonts w:ascii="Arial" w:eastAsia="Arial" w:hAnsi="Arial" w:cs="Arial"/>
          <w:color w:val="000000"/>
          <w:sz w:val="24"/>
          <w:szCs w:val="24"/>
        </w:rPr>
        <w:t xml:space="preserve"> 12 </w:t>
      </w:r>
      <w:r>
        <w:rPr>
          <w:rFonts w:ascii="Arial" w:eastAsia="Arial" w:hAnsi="Arial" w:cs="Arial"/>
          <w:color w:val="000000"/>
          <w:sz w:val="24"/>
          <w:szCs w:val="24"/>
        </w:rPr>
        <w:t>months on:</w:t>
      </w:r>
      <w:bookmarkEnd w:id="37"/>
    </w:p>
    <w:p w14:paraId="000000BC" w14:textId="6EBFDB1B"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bookmarkStart w:id="38" w:name="_heading=h.3rdcrjn" w:colFirst="0" w:colLast="0"/>
      <w:bookmarkStart w:id="39" w:name="_Ref141095494"/>
      <w:bookmarkEnd w:id="38"/>
      <w:r>
        <w:rPr>
          <w:rFonts w:ascii="Arial" w:eastAsia="Arial" w:hAnsi="Arial" w:cs="Arial"/>
          <w:color w:val="000000"/>
          <w:sz w:val="24"/>
          <w:szCs w:val="24"/>
        </w:rPr>
        <w:t xml:space="preserve">the </w:t>
      </w:r>
      <w:r w:rsidRPr="00D54C6E">
        <w:rPr>
          <w:rFonts w:ascii="Arial" w:eastAsia="Arial" w:hAnsi="Arial" w:cs="Arial"/>
          <w:color w:val="000000"/>
          <w:sz w:val="24"/>
          <w:szCs w:val="24"/>
        </w:rPr>
        <w:t>volume</w:t>
      </w:r>
      <w:r>
        <w:rPr>
          <w:rFonts w:ascii="Arial" w:eastAsia="Arial" w:hAnsi="Arial" w:cs="Arial"/>
          <w:color w:val="000000"/>
          <w:sz w:val="24"/>
          <w:szCs w:val="24"/>
        </w:rPr>
        <w:t xml:space="preserve"> of Data Subject Access Request (or purported Data Subject Access Requests) from Data Subjects (or third parties on their behalf);</w:t>
      </w:r>
      <w:bookmarkEnd w:id="39"/>
    </w:p>
    <w:p w14:paraId="000000BD" w14:textId="1581A43F"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lastRenderedPageBreak/>
        <w:t xml:space="preserve">the volume of requests from Data Subjects (or third parties on their behalf) to rectify, block or erase any Personal </w:t>
      </w:r>
      <w:r w:rsidRPr="00D54C6E">
        <w:rPr>
          <w:rFonts w:ascii="Arial" w:eastAsia="Arial" w:hAnsi="Arial" w:cs="Arial"/>
          <w:color w:val="000000"/>
          <w:sz w:val="24"/>
          <w:szCs w:val="24"/>
        </w:rPr>
        <w:t>Data</w:t>
      </w:r>
      <w:r>
        <w:rPr>
          <w:rFonts w:ascii="Arial" w:eastAsia="Arial" w:hAnsi="Arial" w:cs="Arial"/>
          <w:color w:val="000000"/>
          <w:sz w:val="24"/>
          <w:szCs w:val="24"/>
        </w:rPr>
        <w:t xml:space="preserve">; </w:t>
      </w:r>
    </w:p>
    <w:p w14:paraId="000000BE" w14:textId="5759235D"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bookmarkStart w:id="40" w:name="_heading=h.26in1rg" w:colFirst="0" w:colLast="0"/>
      <w:bookmarkStart w:id="41" w:name="_Ref141095545"/>
      <w:bookmarkEnd w:id="40"/>
      <w:r>
        <w:rPr>
          <w:rFonts w:ascii="Arial" w:eastAsia="Arial" w:hAnsi="Arial" w:cs="Arial"/>
          <w:color w:val="000000"/>
          <w:sz w:val="24"/>
          <w:szCs w:val="24"/>
        </w:rPr>
        <w:t>any other requests, complaints or communications from Data Subjects (or third parties on their behalf) relating to the other Party’s obligations under applicable Data Protection Legislation;</w:t>
      </w:r>
      <w:bookmarkEnd w:id="41"/>
    </w:p>
    <w:p w14:paraId="000000BF" w14:textId="7D1013D0"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 xml:space="preserve">any communications from the Information Commissioner or any </w:t>
      </w:r>
      <w:r w:rsidRPr="00D54C6E">
        <w:rPr>
          <w:rFonts w:ascii="Arial" w:eastAsia="Arial" w:hAnsi="Arial" w:cs="Arial"/>
          <w:color w:val="000000"/>
          <w:sz w:val="24"/>
          <w:szCs w:val="24"/>
        </w:rPr>
        <w:t>other</w:t>
      </w:r>
      <w:r>
        <w:rPr>
          <w:rFonts w:ascii="Arial" w:eastAsia="Arial" w:hAnsi="Arial" w:cs="Arial"/>
          <w:color w:val="000000"/>
          <w:sz w:val="24"/>
          <w:szCs w:val="24"/>
        </w:rPr>
        <w:t xml:space="preserve"> regulatory authority in connection with Personal Data; and</w:t>
      </w:r>
    </w:p>
    <w:p w14:paraId="000000C0" w14:textId="7F1EAE51"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bookmarkStart w:id="42" w:name="_heading=h.lnxbz9" w:colFirst="0" w:colLast="0"/>
      <w:bookmarkStart w:id="43" w:name="_Ref141095511"/>
      <w:bookmarkEnd w:id="42"/>
      <w:r>
        <w:rPr>
          <w:rFonts w:ascii="Arial" w:eastAsia="Arial" w:hAnsi="Arial" w:cs="Arial"/>
          <w:color w:val="000000"/>
          <w:sz w:val="24"/>
          <w:szCs w:val="24"/>
        </w:rPr>
        <w:t xml:space="preserve">any requests from any third party for disclosure of Personal Data </w:t>
      </w:r>
      <w:r w:rsidRPr="00D54C6E">
        <w:rPr>
          <w:rFonts w:ascii="Arial" w:eastAsia="Arial" w:hAnsi="Arial" w:cs="Arial"/>
          <w:color w:val="000000"/>
          <w:sz w:val="24"/>
          <w:szCs w:val="24"/>
        </w:rPr>
        <w:t>where</w:t>
      </w:r>
      <w:r>
        <w:rPr>
          <w:rFonts w:ascii="Arial" w:eastAsia="Arial" w:hAnsi="Arial" w:cs="Arial"/>
          <w:color w:val="000000"/>
          <w:sz w:val="24"/>
          <w:szCs w:val="24"/>
        </w:rPr>
        <w:t xml:space="preserve"> compliance with such request is required or purported to be required by Law,</w:t>
      </w:r>
      <w:bookmarkEnd w:id="43"/>
    </w:p>
    <w:p w14:paraId="000000C1" w14:textId="0208564E" w:rsidR="00271DE7" w:rsidRDefault="00281B0B" w:rsidP="004D7A45">
      <w:pPr>
        <w:keepNext/>
        <w:pBdr>
          <w:top w:val="nil"/>
          <w:left w:val="nil"/>
          <w:bottom w:val="nil"/>
          <w:right w:val="nil"/>
          <w:between w:val="nil"/>
        </w:pBdr>
        <w:spacing w:before="120" w:after="120" w:line="240" w:lineRule="auto"/>
        <w:ind w:left="1757"/>
        <w:rPr>
          <w:rFonts w:ascii="Arial" w:eastAsia="Arial" w:hAnsi="Arial" w:cs="Arial"/>
          <w:color w:val="000000"/>
          <w:sz w:val="24"/>
          <w:szCs w:val="24"/>
        </w:rPr>
      </w:pPr>
      <w:r>
        <w:rPr>
          <w:rFonts w:ascii="Arial" w:eastAsia="Arial" w:hAnsi="Arial" w:cs="Arial"/>
          <w:color w:val="000000"/>
          <w:sz w:val="24"/>
          <w:szCs w:val="24"/>
        </w:rPr>
        <w:t xml:space="preserve">that it has received in relation to the subject matter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during that period; </w:t>
      </w:r>
    </w:p>
    <w:p w14:paraId="000000C2" w14:textId="082AA1D1"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white"/>
        </w:rPr>
        <w:t>notify each other immediately if it receives any</w:t>
      </w:r>
      <w:r>
        <w:rPr>
          <w:rFonts w:ascii="Arial" w:eastAsia="Arial" w:hAnsi="Arial" w:cs="Arial"/>
          <w:color w:val="000000"/>
          <w:sz w:val="24"/>
          <w:szCs w:val="24"/>
        </w:rPr>
        <w:t xml:space="preserve"> request, complaint or communication made as referred to in Paragraphs </w:t>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_Ref141095494 \w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_Ref141095518 \n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t>2.1.1</w:t>
      </w:r>
      <w:r w:rsidR="00985C45">
        <w:rPr>
          <w:rFonts w:ascii="Arial" w:eastAsia="Arial" w:hAnsi="Arial" w:cs="Arial"/>
          <w:color w:val="000000"/>
          <w:sz w:val="24"/>
          <w:szCs w:val="24"/>
        </w:rPr>
        <w:fldChar w:fldCharType="end"/>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_Ref141095494 \n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t>(a)</w:t>
      </w:r>
      <w:r w:rsidR="006A1C60">
        <w:rPr>
          <w:rFonts w:ascii="Arial" w:eastAsia="Arial" w:hAnsi="Arial" w:cs="Arial"/>
          <w:color w:val="000000"/>
          <w:sz w:val="24"/>
          <w:szCs w:val="24"/>
        </w:rPr>
        <w:fldChar w:fldCharType="end"/>
      </w:r>
      <w:r w:rsidR="00985C45">
        <w:rPr>
          <w:rFonts w:ascii="Arial" w:eastAsia="Arial" w:hAnsi="Arial" w:cs="Arial"/>
          <w:color w:val="000000"/>
          <w:sz w:val="24"/>
          <w:szCs w:val="24"/>
        </w:rPr>
        <w:fldChar w:fldCharType="end"/>
      </w:r>
      <w:r>
        <w:rPr>
          <w:rFonts w:ascii="Arial" w:eastAsia="Arial" w:hAnsi="Arial" w:cs="Arial"/>
          <w:color w:val="000000"/>
          <w:sz w:val="24"/>
          <w:szCs w:val="24"/>
        </w:rPr>
        <w:t xml:space="preserve"> to </w:t>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_Ref141095518 \n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t>2.1.1</w:t>
      </w:r>
      <w:r w:rsidR="00985C45">
        <w:rPr>
          <w:rFonts w:ascii="Arial" w:eastAsia="Arial" w:hAnsi="Arial" w:cs="Arial"/>
          <w:color w:val="000000"/>
          <w:sz w:val="24"/>
          <w:szCs w:val="24"/>
        </w:rPr>
        <w:fldChar w:fldCharType="end"/>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_Ref141095511 \n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t>(e)</w:t>
      </w:r>
      <w:r w:rsidR="00985C45">
        <w:rPr>
          <w:rFonts w:ascii="Arial" w:eastAsia="Arial" w:hAnsi="Arial" w:cs="Arial"/>
          <w:color w:val="000000"/>
          <w:sz w:val="24"/>
          <w:szCs w:val="24"/>
        </w:rPr>
        <w:fldChar w:fldCharType="end"/>
      </w:r>
      <w:r>
        <w:rPr>
          <w:rFonts w:ascii="Arial" w:eastAsia="Arial" w:hAnsi="Arial" w:cs="Arial"/>
          <w:color w:val="000000"/>
          <w:sz w:val="24"/>
          <w:szCs w:val="24"/>
        </w:rPr>
        <w:t xml:space="preserve">; </w:t>
      </w:r>
    </w:p>
    <w:p w14:paraId="000000C3" w14:textId="0AD505F3"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provide the other Party with full cooperation and assistance in relation to any request, complaint or communication made as referred to in Paragraphs </w:t>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_Ref141095435 \n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t>1.2</w:t>
      </w:r>
      <w:r w:rsidR="006A1C60">
        <w:rPr>
          <w:rFonts w:ascii="Arial" w:eastAsia="Arial" w:hAnsi="Arial" w:cs="Arial"/>
          <w:color w:val="000000"/>
          <w:sz w:val="24"/>
          <w:szCs w:val="24"/>
        </w:rPr>
        <w:fldChar w:fldCharType="end"/>
      </w:r>
      <w:r w:rsidR="006A1C60">
        <w:rPr>
          <w:rFonts w:ascii="Arial" w:eastAsia="Arial" w:hAnsi="Arial" w:cs="Arial"/>
          <w:color w:val="000000"/>
          <w:sz w:val="24"/>
          <w:szCs w:val="24"/>
        </w:rPr>
        <w:t xml:space="preserve"> </w:t>
      </w:r>
      <w:r>
        <w:rPr>
          <w:rFonts w:ascii="Arial" w:eastAsia="Arial" w:hAnsi="Arial" w:cs="Arial"/>
          <w:color w:val="000000"/>
          <w:sz w:val="24"/>
          <w:szCs w:val="24"/>
        </w:rPr>
        <w:t>and ‎</w:t>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_Ref141095545 \w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_Ref141095518 \n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t>2.1.1</w:t>
      </w:r>
      <w:r w:rsidR="006A1C60">
        <w:rPr>
          <w:rFonts w:ascii="Arial" w:eastAsia="Arial" w:hAnsi="Arial" w:cs="Arial"/>
          <w:color w:val="000000"/>
          <w:sz w:val="24"/>
          <w:szCs w:val="24"/>
        </w:rPr>
        <w:fldChar w:fldCharType="end"/>
      </w:r>
      <w:r w:rsidR="006A1C60">
        <w:rPr>
          <w:rFonts w:ascii="Arial" w:eastAsia="Arial" w:hAnsi="Arial" w:cs="Arial"/>
          <w:color w:val="000000"/>
          <w:sz w:val="24"/>
          <w:szCs w:val="24"/>
        </w:rPr>
        <w:t>(c)</w:t>
      </w:r>
      <w:r w:rsidR="006A1C60">
        <w:rPr>
          <w:rFonts w:ascii="Arial" w:eastAsia="Arial" w:hAnsi="Arial" w:cs="Arial"/>
          <w:color w:val="000000"/>
          <w:sz w:val="24"/>
          <w:szCs w:val="24"/>
        </w:rPr>
        <w:fldChar w:fldCharType="end"/>
      </w:r>
      <w:r>
        <w:rPr>
          <w:rFonts w:ascii="Arial" w:eastAsia="Arial" w:hAnsi="Arial" w:cs="Arial"/>
          <w:color w:val="000000"/>
          <w:sz w:val="24"/>
          <w:szCs w:val="24"/>
        </w:rPr>
        <w:t xml:space="preserve"> to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_Ref141095518 \n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2.1.1</w:t>
      </w:r>
      <w:r w:rsidR="00831C67">
        <w:rPr>
          <w:rFonts w:ascii="Arial" w:eastAsia="Arial" w:hAnsi="Arial" w:cs="Arial"/>
          <w:color w:val="000000"/>
          <w:sz w:val="24"/>
          <w:szCs w:val="24"/>
        </w:rPr>
        <w:fldChar w:fldCharType="end"/>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_Ref141095511 \n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t>(e)</w:t>
      </w:r>
      <w:r w:rsidR="006A1C60">
        <w:rPr>
          <w:rFonts w:ascii="Arial" w:eastAsia="Arial" w:hAnsi="Arial" w:cs="Arial"/>
          <w:color w:val="000000"/>
          <w:sz w:val="24"/>
          <w:szCs w:val="24"/>
        </w:rPr>
        <w:fldChar w:fldCharType="end"/>
      </w:r>
      <w:r>
        <w:rPr>
          <w:rFonts w:ascii="Arial" w:eastAsia="Arial" w:hAnsi="Arial" w:cs="Arial"/>
          <w:color w:val="000000"/>
          <w:sz w:val="24"/>
          <w:szCs w:val="24"/>
        </w:rPr>
        <w:t xml:space="preserve"> to enable the other Party to comply with the relevant timescales set out in the Data Protection Legislation;</w:t>
      </w:r>
    </w:p>
    <w:p w14:paraId="000000C4" w14:textId="14E39620"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disclose or transfer the Personal Data to any third party unless </w:t>
      </w:r>
      <w:r>
        <w:rPr>
          <w:rFonts w:ascii="Arial" w:eastAsia="Arial" w:hAnsi="Arial" w:cs="Arial"/>
          <w:color w:val="000000"/>
          <w:sz w:val="24"/>
          <w:szCs w:val="24"/>
          <w:highlight w:val="white"/>
        </w:rPr>
        <w:t>necessary</w:t>
      </w:r>
      <w:r>
        <w:rPr>
          <w:rFonts w:ascii="Arial" w:eastAsia="Arial" w:hAnsi="Arial" w:cs="Arial"/>
          <w:color w:val="000000"/>
          <w:sz w:val="24"/>
          <w:szCs w:val="24"/>
        </w:rPr>
        <w:t xml:space="preserve"> for the provision of the Services and, for any disclosure or transfer of Personal Data to any third party, (save where such disclosure or transfer is specifically authorised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or is required by Law) that disclosure or transfer of Personal Data </w:t>
      </w:r>
      <w:r w:rsidRPr="00D54C6E">
        <w:rPr>
          <w:rFonts w:ascii="Arial" w:eastAsia="Arial" w:hAnsi="Arial" w:cs="Arial"/>
          <w:color w:val="000000"/>
          <w:sz w:val="24"/>
          <w:szCs w:val="24"/>
        </w:rPr>
        <w:t xml:space="preserve">is otherwise considered to be lawful processing of that Personal Data in accordance with Article 6 of the UK GDPR or EU GDPR (as the context requires). </w:t>
      </w:r>
      <w:r>
        <w:rPr>
          <w:rFonts w:ascii="Arial" w:eastAsia="Arial" w:hAnsi="Arial" w:cs="Arial"/>
          <w:color w:val="000000"/>
          <w:sz w:val="24"/>
          <w:szCs w:val="24"/>
        </w:rPr>
        <w:t>For the avoidance of doubt, the third party to which Personal Data is transferred must be subject to equivalent obligations which are no less onerous than those set out in this Annex;</w:t>
      </w:r>
    </w:p>
    <w:p w14:paraId="000000C5" w14:textId="6F47D892"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request from the Data Subject only the minimum information necessary to </w:t>
      </w:r>
      <w:r>
        <w:rPr>
          <w:rFonts w:ascii="Arial" w:eastAsia="Arial" w:hAnsi="Arial" w:cs="Arial"/>
          <w:color w:val="000000"/>
          <w:sz w:val="24"/>
          <w:szCs w:val="24"/>
          <w:highlight w:val="white"/>
        </w:rPr>
        <w:t>provide</w:t>
      </w:r>
      <w:r>
        <w:rPr>
          <w:rFonts w:ascii="Arial" w:eastAsia="Arial" w:hAnsi="Arial" w:cs="Arial"/>
          <w:color w:val="000000"/>
          <w:sz w:val="24"/>
          <w:szCs w:val="24"/>
        </w:rPr>
        <w:t xml:space="preserve"> the Services and treat such extracted information as Confidential Information;</w:t>
      </w:r>
    </w:p>
    <w:p w14:paraId="000000C6" w14:textId="34E26D29"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white"/>
        </w:rPr>
        <w:t>ensure</w:t>
      </w:r>
      <w:r>
        <w:rPr>
          <w:rFonts w:ascii="Arial" w:eastAsia="Arial" w:hAnsi="Arial" w:cs="Arial"/>
          <w:color w:val="000000"/>
          <w:sz w:val="24"/>
          <w:szCs w:val="24"/>
        </w:rPr>
        <w:t xml:space="preserv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00000C7" w14:textId="54E755BF" w:rsidR="00271DE7" w:rsidRDefault="00281B0B" w:rsidP="00D54C6E">
      <w:pPr>
        <w:keepNext/>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use best endeavours to ensure the reliability and integrity of any of its </w:t>
      </w:r>
      <w:r>
        <w:rPr>
          <w:rFonts w:ascii="Arial" w:eastAsia="Arial" w:hAnsi="Arial" w:cs="Arial"/>
          <w:color w:val="000000"/>
          <w:sz w:val="24"/>
          <w:szCs w:val="24"/>
          <w:highlight w:val="white"/>
        </w:rPr>
        <w:t>Personnel</w:t>
      </w:r>
      <w:r>
        <w:rPr>
          <w:rFonts w:ascii="Arial" w:eastAsia="Arial" w:hAnsi="Arial" w:cs="Arial"/>
          <w:color w:val="000000"/>
          <w:sz w:val="24"/>
          <w:szCs w:val="24"/>
        </w:rPr>
        <w:t xml:space="preserve"> who have access to the Personal Data and ensure that its Personnel:</w:t>
      </w:r>
    </w:p>
    <w:p w14:paraId="000000C8" w14:textId="7D076572" w:rsidR="00271DE7" w:rsidRPr="00831C67" w:rsidRDefault="00281B0B" w:rsidP="00831C67">
      <w:pPr>
        <w:pStyle w:val="ScheduleUntitledsubclause1"/>
        <w:numPr>
          <w:ilvl w:val="3"/>
          <w:numId w:val="13"/>
        </w:numPr>
        <w:pBdr>
          <w:top w:val="nil"/>
          <w:left w:val="nil"/>
          <w:bottom w:val="nil"/>
          <w:right w:val="nil"/>
          <w:between w:val="nil"/>
        </w:pBdr>
        <w:spacing w:before="120" w:line="240" w:lineRule="auto"/>
        <w:rPr>
          <w:rFonts w:eastAsia="Arial" w:cs="Arial"/>
          <w:sz w:val="24"/>
          <w:szCs w:val="24"/>
        </w:rPr>
      </w:pPr>
      <w:r w:rsidRPr="00831C67">
        <w:rPr>
          <w:rFonts w:eastAsia="Arial" w:cs="Arial"/>
          <w:sz w:val="24"/>
          <w:szCs w:val="24"/>
        </w:rPr>
        <w:t xml:space="preserve">are aware of and comply with their duties under this Annex </w:t>
      </w:r>
      <w:r w:rsidR="00831C67" w:rsidRPr="00831C67">
        <w:rPr>
          <w:rFonts w:eastAsia="Arial" w:cs="Arial"/>
          <w:sz w:val="24"/>
          <w:szCs w:val="24"/>
        </w:rPr>
        <w:fldChar w:fldCharType="begin"/>
      </w:r>
      <w:r w:rsidR="00831C67" w:rsidRPr="00831C67">
        <w:rPr>
          <w:rFonts w:eastAsia="Arial" w:cs="Arial"/>
          <w:sz w:val="24"/>
          <w:szCs w:val="24"/>
        </w:rPr>
        <w:instrText xml:space="preserve"> REF Ann_2 \h  \* MERGEFORMAT </w:instrText>
      </w:r>
      <w:r w:rsidR="00831C67" w:rsidRPr="00831C67">
        <w:rPr>
          <w:rFonts w:eastAsia="Arial" w:cs="Arial"/>
          <w:sz w:val="24"/>
          <w:szCs w:val="24"/>
        </w:rPr>
      </w:r>
      <w:r w:rsidR="00831C67" w:rsidRPr="00831C67">
        <w:rPr>
          <w:rFonts w:eastAsia="Arial" w:cs="Arial"/>
          <w:sz w:val="24"/>
          <w:szCs w:val="24"/>
        </w:rPr>
        <w:fldChar w:fldCharType="separate"/>
      </w:r>
      <w:r w:rsidR="00831C67" w:rsidRPr="00831C67">
        <w:rPr>
          <w:rFonts w:eastAsia="Arial" w:cs="Arial"/>
          <w:sz w:val="24"/>
          <w:szCs w:val="24"/>
        </w:rPr>
        <w:t>2</w:t>
      </w:r>
      <w:r w:rsidR="00831C67" w:rsidRPr="00831C67">
        <w:rPr>
          <w:rFonts w:eastAsia="Arial" w:cs="Arial"/>
          <w:sz w:val="24"/>
          <w:szCs w:val="24"/>
        </w:rPr>
        <w:fldChar w:fldCharType="end"/>
      </w:r>
      <w:r w:rsidRPr="00831C67">
        <w:rPr>
          <w:rFonts w:eastAsia="Arial" w:cs="Arial"/>
          <w:sz w:val="24"/>
          <w:szCs w:val="24"/>
        </w:rPr>
        <w:t xml:space="preserve"> (Joint Controller Agreement) and those in respect of Confidential Information </w:t>
      </w:r>
    </w:p>
    <w:p w14:paraId="000000C9" w14:textId="116C2D51"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000000CA" w14:textId="000EF449"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have undergone adequate training in the use, care, protection and handling of personal data as required by the applicable Data Protection Legislation;</w:t>
      </w:r>
    </w:p>
    <w:p w14:paraId="000000CB" w14:textId="49D1537B" w:rsidR="00271DE7" w:rsidRDefault="00281B0B" w:rsidP="00D54C6E">
      <w:pPr>
        <w:keepNext/>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ensure </w:t>
      </w:r>
      <w:r>
        <w:rPr>
          <w:rFonts w:ascii="Arial" w:eastAsia="Arial" w:hAnsi="Arial" w:cs="Arial"/>
          <w:color w:val="000000"/>
          <w:sz w:val="24"/>
          <w:szCs w:val="24"/>
          <w:highlight w:val="white"/>
        </w:rPr>
        <w:t>that</w:t>
      </w:r>
      <w:r>
        <w:rPr>
          <w:rFonts w:ascii="Arial" w:eastAsia="Arial" w:hAnsi="Arial" w:cs="Arial"/>
          <w:color w:val="000000"/>
          <w:sz w:val="24"/>
          <w:szCs w:val="24"/>
        </w:rPr>
        <w:t xml:space="preserve"> it has in place Protective Measures as appropriate to protect against a Data Loss Event having taken account of the:</w:t>
      </w:r>
    </w:p>
    <w:p w14:paraId="000000CC" w14:textId="4D847802" w:rsidR="00271DE7" w:rsidRPr="00831C67" w:rsidRDefault="00281B0B" w:rsidP="00831C67">
      <w:pPr>
        <w:pStyle w:val="ScheduleUntitledsubclause1"/>
        <w:numPr>
          <w:ilvl w:val="3"/>
          <w:numId w:val="14"/>
        </w:numPr>
        <w:pBdr>
          <w:top w:val="nil"/>
          <w:left w:val="nil"/>
          <w:bottom w:val="nil"/>
          <w:right w:val="nil"/>
          <w:between w:val="nil"/>
        </w:pBdr>
        <w:spacing w:before="120" w:line="240" w:lineRule="auto"/>
        <w:rPr>
          <w:rFonts w:eastAsia="Arial" w:cs="Arial"/>
          <w:sz w:val="24"/>
          <w:szCs w:val="24"/>
        </w:rPr>
      </w:pPr>
      <w:r w:rsidRPr="00831C67">
        <w:rPr>
          <w:rFonts w:eastAsia="Arial" w:cs="Arial"/>
          <w:sz w:val="24"/>
          <w:szCs w:val="24"/>
        </w:rPr>
        <w:t>nature of the data to be protected;</w:t>
      </w:r>
    </w:p>
    <w:p w14:paraId="000000CD" w14:textId="7E7C8061"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harm that might result from a Data Loss Event;</w:t>
      </w:r>
    </w:p>
    <w:p w14:paraId="000000CE" w14:textId="702633C6"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state of technological development; and</w:t>
      </w:r>
    </w:p>
    <w:p w14:paraId="000000CF" w14:textId="75B4DB0D"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cost of implementing any measures;</w:t>
      </w:r>
    </w:p>
    <w:p w14:paraId="000000D0" w14:textId="729A8130"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ensure that it has the capability (whether technological or otherwise), to </w:t>
      </w:r>
      <w:r>
        <w:rPr>
          <w:rFonts w:ascii="Arial" w:eastAsia="Arial" w:hAnsi="Arial" w:cs="Arial"/>
          <w:color w:val="000000"/>
          <w:sz w:val="24"/>
          <w:szCs w:val="24"/>
          <w:highlight w:val="white"/>
        </w:rPr>
        <w:t>the</w:t>
      </w:r>
      <w:r>
        <w:rPr>
          <w:rFonts w:ascii="Arial" w:eastAsia="Arial" w:hAnsi="Arial" w:cs="Arial"/>
          <w:color w:val="000000"/>
          <w:sz w:val="24"/>
          <w:szCs w:val="24"/>
        </w:rPr>
        <w:t xml:space="preserve"> extent required by Data Protection Legislation, to provide or correct or delete at the request of a Data Subject all the Personal Data relating to that Data Subject that the Supplier holds; and</w:t>
      </w:r>
    </w:p>
    <w:p w14:paraId="000000D1" w14:textId="0955FC42"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white"/>
        </w:rPr>
        <w:t>ensure</w:t>
      </w:r>
      <w:r>
        <w:rPr>
          <w:rFonts w:ascii="Arial" w:eastAsia="Arial" w:hAnsi="Arial" w:cs="Arial"/>
          <w:color w:val="000000"/>
          <w:sz w:val="24"/>
          <w:szCs w:val="24"/>
        </w:rPr>
        <w:t xml:space="preserve"> that it notifies the other Party as soon as it becomes aware of a Data Loss Event;</w:t>
      </w:r>
    </w:p>
    <w:p w14:paraId="000000D2" w14:textId="0D128675" w:rsidR="00271DE7" w:rsidRDefault="00281B0B" w:rsidP="00D54C6E">
      <w:pPr>
        <w:numPr>
          <w:ilvl w:val="2"/>
          <w:numId w:val="6"/>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transfer </w:t>
      </w:r>
      <w:r>
        <w:rPr>
          <w:rFonts w:ascii="Arial" w:eastAsia="Arial" w:hAnsi="Arial" w:cs="Arial"/>
          <w:color w:val="000000"/>
          <w:sz w:val="24"/>
          <w:szCs w:val="24"/>
          <w:highlight w:val="white"/>
        </w:rPr>
        <w:t>such</w:t>
      </w:r>
      <w:r w:rsidRPr="00D54C6E">
        <w:rPr>
          <w:rFonts w:ascii="Arial" w:eastAsia="Arial" w:hAnsi="Arial" w:cs="Arial"/>
          <w:color w:val="000000"/>
          <w:sz w:val="24"/>
          <w:szCs w:val="24"/>
        </w:rPr>
        <w:t xml:space="preserve"> Personal Data outside of the UK and/or the EEA unless the prior written consent of the non-transferring Party has been obtained and the following conditions are fulfilled:</w:t>
      </w:r>
    </w:p>
    <w:p w14:paraId="000000D3" w14:textId="6CC76476" w:rsidR="00271DE7" w:rsidRPr="00831C67" w:rsidRDefault="00281B0B" w:rsidP="00831C67">
      <w:pPr>
        <w:pStyle w:val="ScheduleUntitledsubclause1"/>
        <w:numPr>
          <w:ilvl w:val="3"/>
          <w:numId w:val="15"/>
        </w:numPr>
        <w:pBdr>
          <w:top w:val="nil"/>
          <w:left w:val="nil"/>
          <w:bottom w:val="nil"/>
          <w:right w:val="nil"/>
          <w:between w:val="nil"/>
        </w:pBdr>
        <w:spacing w:before="120" w:line="240" w:lineRule="auto"/>
        <w:rPr>
          <w:rFonts w:eastAsia="Arial" w:cs="Arial"/>
          <w:sz w:val="24"/>
          <w:szCs w:val="24"/>
        </w:rPr>
      </w:pPr>
      <w:bookmarkStart w:id="44" w:name="_heading=h.35nkun2" w:colFirst="0" w:colLast="0"/>
      <w:bookmarkEnd w:id="44"/>
      <w:r w:rsidRPr="00831C67">
        <w:rPr>
          <w:rFonts w:eastAsia="Arial" w:cs="Arial"/>
          <w:sz w:val="24"/>
          <w:szCs w:val="24"/>
        </w:rPr>
        <w:t xml:space="preserve">the destination country has been recognised as adequate by the UK government in accordance with Article 45 of the UK GDPR or DPA 2018 Section 74A and/or the transfer is in accordance with Article 45 of </w:t>
      </w:r>
      <w:r w:rsidR="009B0AA3" w:rsidRPr="00831C67">
        <w:rPr>
          <w:rFonts w:eastAsia="Arial" w:cs="Arial"/>
          <w:sz w:val="24"/>
          <w:szCs w:val="24"/>
        </w:rPr>
        <w:t>the</w:t>
      </w:r>
      <w:r w:rsidRPr="00831C67">
        <w:rPr>
          <w:rFonts w:eastAsia="Arial" w:cs="Arial"/>
          <w:sz w:val="24"/>
          <w:szCs w:val="24"/>
        </w:rPr>
        <w:t xml:space="preserve"> EU GDPR (where applicable); or</w:t>
      </w:r>
    </w:p>
    <w:p w14:paraId="000000D4" w14:textId="516F4114" w:rsidR="00271DE7" w:rsidRDefault="00281B0B" w:rsidP="00831C67">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w:t>
      </w:r>
      <w:r>
        <w:rPr>
          <w:rFonts w:ascii="Arial" w:eastAsia="Arial" w:hAnsi="Arial" w:cs="Arial"/>
          <w:color w:val="000000"/>
          <w:sz w:val="24"/>
          <w:szCs w:val="24"/>
        </w:rPr>
        <w:t>transferring</w:t>
      </w:r>
      <w:r w:rsidRPr="00D54C6E">
        <w:rPr>
          <w:rFonts w:ascii="Arial" w:eastAsia="Arial" w:hAnsi="Arial" w:cs="Arial"/>
          <w:color w:val="000000"/>
          <w:sz w:val="24"/>
          <w:szCs w:val="24"/>
        </w:rPr>
        <w:t xml:space="preserve"> Party has provided appropriate safeguards in relation to the transfer (whether in accordance with Article 46 of the UK GDPR or DPA 2018 Section 75 and/or Article 46 of the EU GDPR (where </w:t>
      </w:r>
      <w:r w:rsidR="009B0AA3" w:rsidRPr="00D54C6E">
        <w:rPr>
          <w:rFonts w:ascii="Arial" w:eastAsia="Arial" w:hAnsi="Arial" w:cs="Arial"/>
          <w:color w:val="000000"/>
          <w:sz w:val="24"/>
          <w:szCs w:val="24"/>
        </w:rPr>
        <w:t>applicable</w:t>
      </w:r>
      <w:r w:rsidRPr="00D54C6E">
        <w:rPr>
          <w:rFonts w:ascii="Arial" w:eastAsia="Arial" w:hAnsi="Arial" w:cs="Arial"/>
          <w:color w:val="000000"/>
          <w:sz w:val="24"/>
          <w:szCs w:val="24"/>
        </w:rPr>
        <w:t>)) as agreed with the non-transferring Party which could include:</w:t>
      </w:r>
    </w:p>
    <w:p w14:paraId="000000D5" w14:textId="2F1C5AF5" w:rsidR="00271DE7" w:rsidRDefault="00281B0B" w:rsidP="00D54C6E">
      <w:pPr>
        <w:numPr>
          <w:ilvl w:val="4"/>
          <w:numId w:val="6"/>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UK GDPR:</w:t>
      </w:r>
      <w:bookmarkStart w:id="45" w:name="_heading=h.pmg5zsidydcq" w:colFirst="0" w:colLast="0"/>
      <w:bookmarkEnd w:id="45"/>
    </w:p>
    <w:p w14:paraId="000000D6" w14:textId="40015A12" w:rsidR="00271DE7" w:rsidRDefault="00281B0B" w:rsidP="00D54C6E">
      <w:pPr>
        <w:numPr>
          <w:ilvl w:val="5"/>
          <w:numId w:val="6"/>
        </w:numPr>
        <w:pBdr>
          <w:top w:val="nil"/>
          <w:left w:val="nil"/>
          <w:bottom w:val="nil"/>
          <w:right w:val="nil"/>
          <w:between w:val="nil"/>
        </w:pBdr>
        <w:spacing w:before="120" w:after="120" w:line="240" w:lineRule="auto"/>
        <w:ind w:left="3960"/>
      </w:pPr>
      <w:r w:rsidRPr="00D54C6E">
        <w:rPr>
          <w:rFonts w:ascii="Arial" w:eastAsia="Arial" w:hAnsi="Arial" w:cs="Arial"/>
          <w:color w:val="000000"/>
          <w:sz w:val="24"/>
          <w:szCs w:val="24"/>
        </w:rPr>
        <w:t xml:space="preserve">the UK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w:t>
      </w:r>
      <w:r w:rsidRPr="00D54C6E">
        <w:rPr>
          <w:rFonts w:ascii="Arial" w:eastAsia="Arial" w:hAnsi="Arial" w:cs="Arial"/>
          <w:color w:val="000000"/>
          <w:sz w:val="24"/>
          <w:szCs w:val="24"/>
        </w:rPr>
        <w:lastRenderedPageBreak/>
        <w:t>Commissioner’s Office under section 119</w:t>
      </w:r>
      <w:proofErr w:type="gramStart"/>
      <w:r w:rsidRPr="00D54C6E">
        <w:rPr>
          <w:rFonts w:ascii="Arial" w:eastAsia="Arial" w:hAnsi="Arial" w:cs="Arial"/>
          <w:color w:val="000000"/>
          <w:sz w:val="24"/>
          <w:szCs w:val="24"/>
        </w:rPr>
        <w:t>A(</w:t>
      </w:r>
      <w:proofErr w:type="gramEnd"/>
      <w:r w:rsidRPr="00D54C6E">
        <w:rPr>
          <w:rFonts w:ascii="Arial" w:eastAsia="Arial" w:hAnsi="Arial" w:cs="Arial"/>
          <w:color w:val="000000"/>
          <w:sz w:val="24"/>
          <w:szCs w:val="24"/>
        </w:rPr>
        <w:t>1) of the DPA 2018 from time to time; or</w:t>
      </w:r>
      <w:bookmarkStart w:id="46" w:name="_heading=h.labkwfevw4xj" w:colFirst="0" w:colLast="0"/>
      <w:bookmarkEnd w:id="46"/>
    </w:p>
    <w:p w14:paraId="000000D7" w14:textId="4CF5B801" w:rsidR="00271DE7" w:rsidRDefault="00281B0B" w:rsidP="00D54C6E">
      <w:pPr>
        <w:numPr>
          <w:ilvl w:val="5"/>
          <w:numId w:val="6"/>
        </w:numPr>
        <w:pBdr>
          <w:top w:val="nil"/>
          <w:left w:val="nil"/>
          <w:bottom w:val="nil"/>
          <w:right w:val="nil"/>
          <w:between w:val="nil"/>
        </w:pBdr>
        <w:spacing w:before="120" w:after="120" w:line="240" w:lineRule="auto"/>
        <w:ind w:left="3960"/>
      </w:pPr>
      <w:r w:rsidRPr="00D54C6E">
        <w:rPr>
          <w:rFonts w:ascii="Arial" w:eastAsia="Arial" w:hAnsi="Arial" w:cs="Arial"/>
          <w:color w:val="000000"/>
          <w:sz w:val="24"/>
          <w:szCs w:val="24"/>
        </w:rPr>
        <w:t xml:space="preserve">the European Commission’s Standard </w:t>
      </w:r>
      <w:bookmarkStart w:id="47" w:name="_heading=h.u4b0hpu0th1e" w:colFirst="0" w:colLast="0"/>
      <w:bookmarkEnd w:id="47"/>
      <w:r w:rsidRPr="00D54C6E">
        <w:rPr>
          <w:rFonts w:ascii="Arial" w:eastAsia="Arial" w:hAnsi="Arial" w:cs="Arial"/>
          <w:color w:val="000000"/>
          <w:sz w:val="24"/>
          <w:szCs w:val="24"/>
        </w:rPr>
        <w:t xml:space="preserve">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D54C6E">
        <w:rPr>
          <w:rFonts w:ascii="Arial" w:eastAsia="Arial" w:hAnsi="Arial" w:cs="Arial"/>
          <w:b/>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D8" w14:textId="6CB6F991" w:rsidR="00271DE7" w:rsidRDefault="00281B0B" w:rsidP="00D54C6E">
      <w:pPr>
        <w:numPr>
          <w:ilvl w:val="4"/>
          <w:numId w:val="6"/>
        </w:numPr>
        <w:pBdr>
          <w:top w:val="nil"/>
          <w:left w:val="nil"/>
          <w:bottom w:val="nil"/>
          <w:right w:val="nil"/>
          <w:between w:val="nil"/>
        </w:pBdr>
        <w:spacing w:before="120" w:after="120" w:line="240" w:lineRule="auto"/>
        <w:ind w:hanging="705"/>
        <w:rPr>
          <w:rFonts w:ascii="Arial" w:eastAsia="Arial" w:hAnsi="Arial" w:cs="Arial"/>
          <w:sz w:val="24"/>
          <w:szCs w:val="24"/>
        </w:rPr>
      </w:pPr>
      <w:r w:rsidRPr="00D54C6E">
        <w:rPr>
          <w:rFonts w:ascii="Arial" w:eastAsia="Arial" w:hAnsi="Arial" w:cs="Arial"/>
          <w:color w:val="000000"/>
          <w:sz w:val="24"/>
          <w:szCs w:val="24"/>
        </w:rPr>
        <w:t>where the transfer is subject to EU GDPR, the EU SCCs,</w:t>
      </w:r>
      <w:bookmarkStart w:id="48" w:name="_heading=h.3xdkqfux5h4" w:colFirst="0" w:colLast="0"/>
      <w:bookmarkEnd w:id="48"/>
    </w:p>
    <w:p w14:paraId="000000D9" w14:textId="253CC096" w:rsidR="00271DE7" w:rsidRPr="00831C67" w:rsidRDefault="00281B0B" w:rsidP="004D7A45">
      <w:pPr>
        <w:pBdr>
          <w:top w:val="nil"/>
          <w:left w:val="nil"/>
          <w:bottom w:val="nil"/>
          <w:right w:val="nil"/>
          <w:between w:val="nil"/>
        </w:pBdr>
        <w:spacing w:before="120" w:after="120" w:line="240" w:lineRule="auto"/>
        <w:ind w:left="2606"/>
        <w:rPr>
          <w:rFonts w:ascii="Arial" w:eastAsia="Arial" w:hAnsi="Arial" w:cs="Arial"/>
          <w:color w:val="000000"/>
          <w:sz w:val="24"/>
          <w:szCs w:val="24"/>
        </w:rPr>
      </w:pPr>
      <w:bookmarkStart w:id="49" w:name="_heading=h.1ksv4uv" w:colFirst="0" w:colLast="0"/>
      <w:bookmarkEnd w:id="49"/>
      <w:r w:rsidRPr="00D54C6E">
        <w:rPr>
          <w:rFonts w:ascii="Arial" w:eastAsia="Arial" w:hAnsi="Arial" w:cs="Arial"/>
          <w:color w:val="000000"/>
          <w:sz w:val="24"/>
          <w:szCs w:val="24"/>
        </w:rPr>
        <w:t>as well as any additional measures determined by the Controller being implemented by the importing party;</w:t>
      </w:r>
    </w:p>
    <w:p w14:paraId="000000DA" w14:textId="03EF69EB" w:rsidR="00271DE7" w:rsidRPr="00831C6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DB" w14:textId="27B0EBDA" w:rsidR="00271DE7" w:rsidRPr="00831C6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DC" w14:textId="389D970C" w:rsidR="00271DE7" w:rsidRDefault="00281B0B" w:rsidP="00831C67">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the transferring Party complies with any reasonable instructions notified to it in advance by the non-transferring Party with respect to the processing of the Personal Data.</w:t>
      </w:r>
    </w:p>
    <w:p w14:paraId="000000E3" w14:textId="52B8D86B"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Each Joint Controller shall use best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R="007B1E8A">
        <w:rPr>
          <w:rFonts w:ascii="Arial" w:eastAsia="Arial" w:hAnsi="Arial" w:cs="Arial"/>
          <w:color w:val="000000"/>
          <w:sz w:val="24"/>
          <w:szCs w:val="24"/>
        </w:rPr>
        <w:t>.</w:t>
      </w:r>
    </w:p>
    <w:p w14:paraId="000000E4" w14:textId="62B6BDC3"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Data Protection Breach</w:t>
      </w:r>
    </w:p>
    <w:p w14:paraId="000000E5" w14:textId="1C64FFAE" w:rsidR="00271DE7" w:rsidRDefault="00281B0B" w:rsidP="00D54C6E">
      <w:pPr>
        <w:keepNext/>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Without prejudice to Paragraph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_Ref141095654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3.2</w:t>
      </w:r>
      <w:r w:rsidR="00831C67">
        <w:rPr>
          <w:rFonts w:ascii="Arial" w:eastAsia="Arial" w:hAnsi="Arial" w:cs="Arial"/>
          <w:color w:val="000000"/>
          <w:sz w:val="24"/>
          <w:szCs w:val="24"/>
        </w:rPr>
        <w:fldChar w:fldCharType="end"/>
      </w:r>
      <w:r>
        <w:rPr>
          <w:rFonts w:ascii="Arial" w:eastAsia="Arial" w:hAnsi="Arial" w:cs="Arial"/>
          <w:color w:val="000000"/>
          <w:sz w:val="24"/>
          <w:szCs w:val="24"/>
        </w:rPr>
        <w:t xml:space="preserve">, each Party shall notify the other Party promptly and without undue delay, and in any event within </w:t>
      </w:r>
      <w:proofErr w:type="gramStart"/>
      <w:r w:rsidR="00831C67">
        <w:rPr>
          <w:rFonts w:ascii="Arial" w:eastAsia="Arial" w:hAnsi="Arial" w:cs="Arial"/>
          <w:color w:val="000000"/>
          <w:sz w:val="24"/>
          <w:szCs w:val="24"/>
        </w:rPr>
        <w:t>forty eight</w:t>
      </w:r>
      <w:proofErr w:type="gramEnd"/>
      <w:r w:rsidR="00831C67">
        <w:rPr>
          <w:rFonts w:ascii="Arial" w:eastAsia="Arial" w:hAnsi="Arial" w:cs="Arial"/>
          <w:color w:val="000000"/>
          <w:sz w:val="24"/>
          <w:szCs w:val="24"/>
        </w:rPr>
        <w:t xml:space="preserve"> (</w:t>
      </w:r>
      <w:r>
        <w:rPr>
          <w:rFonts w:ascii="Arial" w:eastAsia="Arial" w:hAnsi="Arial" w:cs="Arial"/>
          <w:color w:val="000000"/>
          <w:sz w:val="24"/>
          <w:szCs w:val="24"/>
        </w:rPr>
        <w:t>48</w:t>
      </w:r>
      <w:r w:rsidR="00831C67">
        <w:rPr>
          <w:rFonts w:ascii="Arial" w:eastAsia="Arial" w:hAnsi="Arial" w:cs="Arial"/>
          <w:color w:val="000000"/>
          <w:sz w:val="24"/>
          <w:szCs w:val="24"/>
        </w:rPr>
        <w:t>)</w:t>
      </w:r>
      <w:r>
        <w:rPr>
          <w:rFonts w:ascii="Arial" w:eastAsia="Arial" w:hAnsi="Arial" w:cs="Arial"/>
          <w:color w:val="000000"/>
          <w:sz w:val="24"/>
          <w:szCs w:val="24"/>
        </w:rPr>
        <w:t xml:space="preserve"> hours, upon becoming aware of any Data Loss Event or circumstances that are likely to give rise to a Data Loss Event, providing the Buyer and its advisors with:</w:t>
      </w:r>
    </w:p>
    <w:p w14:paraId="000000E6" w14:textId="3F34C209"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sufficient information and in a </w:t>
      </w:r>
      <w:proofErr w:type="gramStart"/>
      <w:r>
        <w:rPr>
          <w:rFonts w:ascii="Arial" w:eastAsia="Arial" w:hAnsi="Arial" w:cs="Arial"/>
          <w:color w:val="000000"/>
          <w:sz w:val="24"/>
          <w:szCs w:val="24"/>
        </w:rPr>
        <w:t>timescale</w:t>
      </w:r>
      <w:proofErr w:type="gramEnd"/>
      <w:r>
        <w:rPr>
          <w:rFonts w:ascii="Arial" w:eastAsia="Arial" w:hAnsi="Arial" w:cs="Arial"/>
          <w:color w:val="000000"/>
          <w:sz w:val="24"/>
          <w:szCs w:val="24"/>
        </w:rPr>
        <w:t xml:space="preserve"> which allows the other Party to meet any obligations to report a Data Loss Event under the Data Protection Legislation;</w:t>
      </w:r>
    </w:p>
    <w:p w14:paraId="000000E7" w14:textId="103AE594" w:rsidR="00271DE7" w:rsidRDefault="00281B0B" w:rsidP="00D54C6E">
      <w:pPr>
        <w:keepNext/>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all reasonable assistance, including:</w:t>
      </w:r>
    </w:p>
    <w:p w14:paraId="000000E8" w14:textId="6604A8FC" w:rsidR="00271DE7" w:rsidRPr="00831C67" w:rsidRDefault="00281B0B" w:rsidP="00831C67">
      <w:pPr>
        <w:pStyle w:val="ScheduleUntitledsubclause1"/>
        <w:numPr>
          <w:ilvl w:val="3"/>
          <w:numId w:val="16"/>
        </w:numPr>
        <w:pBdr>
          <w:top w:val="nil"/>
          <w:left w:val="nil"/>
          <w:bottom w:val="nil"/>
          <w:right w:val="nil"/>
          <w:between w:val="nil"/>
        </w:pBdr>
        <w:spacing w:before="120" w:line="240" w:lineRule="auto"/>
        <w:rPr>
          <w:rFonts w:eastAsia="Arial" w:cs="Arial"/>
          <w:sz w:val="24"/>
          <w:szCs w:val="24"/>
        </w:rPr>
      </w:pPr>
      <w:r w:rsidRPr="00831C67">
        <w:rPr>
          <w:rFonts w:eastAsia="Arial" w:cs="Arial"/>
          <w:sz w:val="24"/>
          <w:szCs w:val="24"/>
        </w:rPr>
        <w:t>co-operation with the other Party and the Information Commissioner investigating the Data Loss Event and its cause, containing and recovering the compromised Personal Data and compliance with the applicable guidance;</w:t>
      </w:r>
    </w:p>
    <w:p w14:paraId="000000E9" w14:textId="661163DF"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co-operation with the other Party including using such best endeavours as are directed by the Buyer to assist in the investigation, mitigation and remediation of a Data Loss Event;</w:t>
      </w:r>
    </w:p>
    <w:p w14:paraId="000000EA" w14:textId="443141FF"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Data Loss Event; and/or</w:t>
      </w:r>
    </w:p>
    <w:p w14:paraId="000000EB" w14:textId="711BCA9B"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Data Loss Event, with complete information relating to the Data Loss Event, including, without limitation, the information set out in Paragraph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_Ref141095654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3.2</w:t>
      </w:r>
      <w:r w:rsidR="00831C67">
        <w:rPr>
          <w:rFonts w:ascii="Arial" w:eastAsia="Arial" w:hAnsi="Arial" w:cs="Arial"/>
          <w:color w:val="000000"/>
          <w:sz w:val="24"/>
          <w:szCs w:val="24"/>
        </w:rPr>
        <w:fldChar w:fldCharType="end"/>
      </w:r>
      <w:r>
        <w:rPr>
          <w:rFonts w:ascii="Arial" w:eastAsia="Arial" w:hAnsi="Arial" w:cs="Arial"/>
          <w:color w:val="000000"/>
          <w:sz w:val="24"/>
          <w:szCs w:val="24"/>
        </w:rPr>
        <w:t>.</w:t>
      </w:r>
    </w:p>
    <w:p w14:paraId="000000EC" w14:textId="77D3D03D" w:rsidR="00271DE7" w:rsidRDefault="00281B0B" w:rsidP="00D54C6E">
      <w:pPr>
        <w:keepNext/>
        <w:numPr>
          <w:ilvl w:val="1"/>
          <w:numId w:val="6"/>
        </w:numPr>
        <w:pBdr>
          <w:top w:val="nil"/>
          <w:left w:val="nil"/>
          <w:bottom w:val="nil"/>
          <w:right w:val="nil"/>
          <w:between w:val="nil"/>
        </w:pBdr>
        <w:spacing w:before="120" w:after="120" w:line="240" w:lineRule="auto"/>
      </w:pPr>
      <w:bookmarkStart w:id="50" w:name="_heading=h.2jxsxqh" w:colFirst="0" w:colLast="0"/>
      <w:bookmarkStart w:id="51" w:name="_Ref141095654"/>
      <w:bookmarkEnd w:id="50"/>
      <w:r>
        <w:rPr>
          <w:rFonts w:ascii="Arial" w:eastAsia="Arial" w:hAnsi="Arial" w:cs="Arial"/>
          <w:color w:val="000000"/>
          <w:sz w:val="24"/>
          <w:szCs w:val="24"/>
        </w:rPr>
        <w:t xml:space="preserve">Each Party shall use best endeavours to restore, re-constitute and/or reconstruct any Personal Data where it has  lost, damaged, destroyed, altered or corrupted as a result of a Data Loss Event which is the fault of that Party as if it was that Party’s own data at its own cost with all possible speed and shall provide the other Party with all reasonable assistance in respect of any such Data Loss Event, including providing the other Party, as soon as possible and within </w:t>
      </w:r>
      <w:r w:rsidR="00831C67">
        <w:rPr>
          <w:rFonts w:ascii="Arial" w:eastAsia="Arial" w:hAnsi="Arial" w:cs="Arial"/>
          <w:color w:val="000000"/>
          <w:sz w:val="24"/>
          <w:szCs w:val="24"/>
        </w:rPr>
        <w:t>forty eight (</w:t>
      </w:r>
      <w:r>
        <w:rPr>
          <w:rFonts w:ascii="Arial" w:eastAsia="Arial" w:hAnsi="Arial" w:cs="Arial"/>
          <w:color w:val="000000"/>
          <w:sz w:val="24"/>
          <w:szCs w:val="24"/>
        </w:rPr>
        <w:t>48</w:t>
      </w:r>
      <w:r w:rsidR="00831C67">
        <w:rPr>
          <w:rFonts w:ascii="Arial" w:eastAsia="Arial" w:hAnsi="Arial" w:cs="Arial"/>
          <w:color w:val="000000"/>
          <w:sz w:val="24"/>
          <w:szCs w:val="24"/>
        </w:rPr>
        <w:t>)</w:t>
      </w:r>
      <w:r>
        <w:rPr>
          <w:rFonts w:ascii="Arial" w:eastAsia="Arial" w:hAnsi="Arial" w:cs="Arial"/>
          <w:color w:val="000000"/>
          <w:sz w:val="24"/>
          <w:szCs w:val="24"/>
        </w:rPr>
        <w:t xml:space="preserve"> hours of the Data Loss Event relating to the Data Loss Event, in particular:</w:t>
      </w:r>
      <w:bookmarkEnd w:id="51"/>
    </w:p>
    <w:p w14:paraId="000000ED" w14:textId="42C402EB"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nature of the Data Loss Event; </w:t>
      </w:r>
    </w:p>
    <w:p w14:paraId="000000EE" w14:textId="7B5EE15F"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Personal Data affected;</w:t>
      </w:r>
    </w:p>
    <w:p w14:paraId="000000EF" w14:textId="59C49EF8"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categories and number of Data Subjects concerned;</w:t>
      </w:r>
    </w:p>
    <w:p w14:paraId="000000F0" w14:textId="621B93AE"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name and contact details of the Supplier’s Data Protection Officer or other relevant contact from whom more information may be obtained;</w:t>
      </w:r>
    </w:p>
    <w:p w14:paraId="000000F1" w14:textId="74B0C836"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measures taken or proposed to be taken to address the Data Loss Event; and</w:t>
      </w:r>
    </w:p>
    <w:p w14:paraId="000000F2" w14:textId="3CFDAD76"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describe the likely consequences of the Data Loss Event.</w:t>
      </w:r>
    </w:p>
    <w:p w14:paraId="000000F3" w14:textId="3FA1078C"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Audit</w:t>
      </w:r>
    </w:p>
    <w:p w14:paraId="000000F4" w14:textId="3AC4446F" w:rsidR="00271DE7" w:rsidRDefault="00281B0B" w:rsidP="00D54C6E">
      <w:pPr>
        <w:keepNext/>
        <w:numPr>
          <w:ilvl w:val="1"/>
          <w:numId w:val="6"/>
        </w:numPr>
        <w:pBdr>
          <w:top w:val="nil"/>
          <w:left w:val="nil"/>
          <w:bottom w:val="nil"/>
          <w:right w:val="nil"/>
          <w:between w:val="nil"/>
        </w:pBdr>
        <w:spacing w:before="120" w:after="120" w:line="240" w:lineRule="auto"/>
      </w:pPr>
      <w:bookmarkStart w:id="52" w:name="_heading=h.z337ya" w:colFirst="0" w:colLast="0"/>
      <w:bookmarkStart w:id="53" w:name="_Ref141095717"/>
      <w:bookmarkEnd w:id="52"/>
      <w:r>
        <w:rPr>
          <w:rFonts w:ascii="Arial" w:eastAsia="Arial" w:hAnsi="Arial" w:cs="Arial"/>
          <w:color w:val="000000"/>
          <w:sz w:val="24"/>
          <w:szCs w:val="24"/>
        </w:rPr>
        <w:t>The Supplier shall permit:</w:t>
      </w:r>
      <w:bookmarkEnd w:id="53"/>
    </w:p>
    <w:p w14:paraId="000000F5" w14:textId="70498615"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or a third-party auditor acting under the Buyer’s direction, to conduct, at the Buyer’s cost, data privacy and security audits, assessments and inspections concerning the Supplier’s data security and privacy procedures relating to Personal Data, its compliance with this Annex </w:t>
      </w:r>
      <w:r w:rsidR="00831C67" w:rsidRPr="00831C67">
        <w:rPr>
          <w:rFonts w:eastAsia="Arial" w:cs="Arial"/>
          <w:sz w:val="24"/>
          <w:szCs w:val="24"/>
        </w:rPr>
        <w:fldChar w:fldCharType="begin"/>
      </w:r>
      <w:r w:rsidR="00831C67" w:rsidRPr="00831C67">
        <w:rPr>
          <w:rFonts w:eastAsia="Arial" w:cs="Arial"/>
          <w:sz w:val="24"/>
          <w:szCs w:val="24"/>
        </w:rPr>
        <w:instrText xml:space="preserve"> REF Ann_2 \h  \* MERGEFORMAT </w:instrText>
      </w:r>
      <w:r w:rsidR="00831C67" w:rsidRPr="00831C67">
        <w:rPr>
          <w:rFonts w:eastAsia="Arial" w:cs="Arial"/>
          <w:sz w:val="24"/>
          <w:szCs w:val="24"/>
        </w:rPr>
      </w:r>
      <w:r w:rsidR="00831C67" w:rsidRPr="00831C67">
        <w:rPr>
          <w:rFonts w:eastAsia="Arial" w:cs="Arial"/>
          <w:sz w:val="24"/>
          <w:szCs w:val="24"/>
        </w:rPr>
        <w:fldChar w:fldCharType="separate"/>
      </w:r>
      <w:r w:rsidR="00831C67" w:rsidRPr="00831C67">
        <w:rPr>
          <w:rFonts w:ascii="Arial" w:eastAsia="Arial" w:hAnsi="Arial" w:cs="Arial"/>
          <w:color w:val="000000"/>
          <w:sz w:val="24"/>
          <w:szCs w:val="24"/>
        </w:rPr>
        <w:t>2</w:t>
      </w:r>
      <w:r w:rsidR="00831C67" w:rsidRPr="00831C67">
        <w:rPr>
          <w:rFonts w:eastAsia="Arial" w:cs="Arial"/>
          <w:sz w:val="24"/>
          <w:szCs w:val="24"/>
        </w:rPr>
        <w:fldChar w:fldCharType="end"/>
      </w:r>
      <w:r>
        <w:rPr>
          <w:rFonts w:ascii="Arial" w:eastAsia="Arial" w:hAnsi="Arial" w:cs="Arial"/>
          <w:color w:val="000000"/>
          <w:sz w:val="24"/>
          <w:szCs w:val="24"/>
        </w:rPr>
        <w:t xml:space="preserve"> and the Data Protection Legislation; and/or</w:t>
      </w:r>
    </w:p>
    <w:p w14:paraId="000000F6" w14:textId="7A030E69"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procedures, including premises under the control of any third party appointed by the Supplier to assist in the provision of the Services. </w:t>
      </w:r>
    </w:p>
    <w:p w14:paraId="000000F7" w14:textId="3420A2E2"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The Buyer may, in its sole discretion, require the Supplier to provide evidence of the Supplier’s compliance with Paragraph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_Ref141095717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4.1</w:t>
      </w:r>
      <w:r w:rsidR="00831C67">
        <w:rPr>
          <w:rFonts w:ascii="Arial" w:eastAsia="Arial" w:hAnsi="Arial" w:cs="Arial"/>
          <w:color w:val="000000"/>
          <w:sz w:val="24"/>
          <w:szCs w:val="24"/>
        </w:rPr>
        <w:fldChar w:fldCharType="end"/>
      </w:r>
      <w:r w:rsidR="00831C67">
        <w:rPr>
          <w:rFonts w:ascii="Arial" w:eastAsia="Arial" w:hAnsi="Arial" w:cs="Arial"/>
          <w:color w:val="000000"/>
          <w:sz w:val="24"/>
          <w:szCs w:val="24"/>
        </w:rPr>
        <w:t xml:space="preserve"> </w:t>
      </w:r>
      <w:r>
        <w:rPr>
          <w:rFonts w:ascii="Arial" w:eastAsia="Arial" w:hAnsi="Arial" w:cs="Arial"/>
          <w:color w:val="000000"/>
          <w:sz w:val="24"/>
          <w:szCs w:val="24"/>
        </w:rPr>
        <w:t>in lieu of conducting such an audit, assessment or inspection.</w:t>
      </w:r>
    </w:p>
    <w:p w14:paraId="000000F8" w14:textId="4F5C8CD4"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Impact Assessments</w:t>
      </w:r>
    </w:p>
    <w:p w14:paraId="000000F9" w14:textId="06E2CB1B" w:rsidR="00271DE7" w:rsidRDefault="00281B0B">
      <w:pPr>
        <w:keepNext/>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Parties shall:</w:t>
      </w:r>
    </w:p>
    <w:p w14:paraId="000000FA" w14:textId="67615C84"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00000FB" w14:textId="624CB93E"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maintain full and complete records of all Processing carried out in respect of the Personal Data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in accordance with the terms of Article 30 UK GDPR.</w:t>
      </w:r>
    </w:p>
    <w:p w14:paraId="000000FC" w14:textId="0C940C7C"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ICO Guidance </w:t>
      </w:r>
    </w:p>
    <w:p w14:paraId="000000FD" w14:textId="346B7D54" w:rsidR="00271DE7" w:rsidRDefault="00281B0B" w:rsidP="00831C67">
      <w:pPr>
        <w:pBdr>
          <w:top w:val="nil"/>
          <w:left w:val="nil"/>
          <w:bottom w:val="nil"/>
          <w:right w:val="nil"/>
          <w:between w:val="nil"/>
        </w:pBdr>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 xml:space="preserve">The Parties agree to take account of any guidance issued by the Information Commissioner, or any other regulatory authority. The Buyer may on not less than thirty (30)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 or any other regulatory authority.</w:t>
      </w:r>
    </w:p>
    <w:p w14:paraId="000000FF" w14:textId="1858B400" w:rsidR="00271DE7" w:rsidRDefault="00281B0B" w:rsidP="00C71C6C">
      <w:pPr>
        <w:keepNext/>
        <w:numPr>
          <w:ilvl w:val="0"/>
          <w:numId w:val="6"/>
        </w:numPr>
        <w:pBdr>
          <w:top w:val="nil"/>
          <w:left w:val="nil"/>
          <w:bottom w:val="nil"/>
          <w:right w:val="nil"/>
          <w:between w:val="nil"/>
        </w:pBdr>
        <w:spacing w:before="120" w:after="240" w:line="240" w:lineRule="auto"/>
        <w:rPr>
          <w:rFonts w:ascii="Arial" w:eastAsia="Arial" w:hAnsi="Arial" w:cs="Arial"/>
          <w:b/>
          <w:i/>
          <w:color w:val="000000"/>
          <w:sz w:val="24"/>
          <w:szCs w:val="24"/>
        </w:rPr>
      </w:pPr>
      <w:r>
        <w:rPr>
          <w:rFonts w:ascii="Arial" w:eastAsia="Arial" w:hAnsi="Arial" w:cs="Arial"/>
          <w:b/>
          <w:color w:val="000000"/>
          <w:sz w:val="24"/>
          <w:szCs w:val="24"/>
        </w:rPr>
        <w:t>Liabilities for Data Protection Breach</w:t>
      </w:r>
      <w:r>
        <w:rPr>
          <w:rFonts w:ascii="Arial" w:eastAsia="Arial" w:hAnsi="Arial" w:cs="Arial"/>
          <w:b/>
          <w:i/>
          <w:color w:val="000000"/>
          <w:sz w:val="24"/>
          <w:szCs w:val="24"/>
        </w:rPr>
        <w:t xml:space="preserve"> </w:t>
      </w:r>
    </w:p>
    <w:p w14:paraId="00000100" w14:textId="191E63E0" w:rsidR="00271DE7" w:rsidRDefault="00281B0B" w:rsidP="00D54C6E">
      <w:pPr>
        <w:keepNext/>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If financial penalties are imposed by the Information Commissioner on either the Buyer or the Supplier for a Data Loss Event (</w:t>
      </w:r>
      <w:r w:rsidR="003B70CC">
        <w:rPr>
          <w:rFonts w:ascii="Arial" w:eastAsia="Arial" w:hAnsi="Arial" w:cs="Arial"/>
          <w:color w:val="000000"/>
          <w:sz w:val="24"/>
          <w:szCs w:val="24"/>
        </w:rPr>
        <w:t>"</w:t>
      </w:r>
      <w:r>
        <w:rPr>
          <w:rFonts w:ascii="Arial" w:eastAsia="Arial" w:hAnsi="Arial" w:cs="Arial"/>
          <w:b/>
          <w:color w:val="000000"/>
          <w:sz w:val="24"/>
          <w:szCs w:val="24"/>
        </w:rPr>
        <w:t>Financial Penalties</w:t>
      </w:r>
      <w:r w:rsidR="003B70CC">
        <w:rPr>
          <w:rFonts w:ascii="Arial" w:eastAsia="Arial" w:hAnsi="Arial" w:cs="Arial"/>
          <w:color w:val="000000"/>
          <w:sz w:val="24"/>
          <w:szCs w:val="24"/>
        </w:rPr>
        <w:t>"</w:t>
      </w:r>
      <w:r>
        <w:rPr>
          <w:rFonts w:ascii="Arial" w:eastAsia="Arial" w:hAnsi="Arial" w:cs="Arial"/>
          <w:color w:val="000000"/>
          <w:sz w:val="24"/>
          <w:szCs w:val="24"/>
        </w:rPr>
        <w:t>) then the following shall occur:</w:t>
      </w:r>
    </w:p>
    <w:p w14:paraId="00000101" w14:textId="3CC6CC2A"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in the view of the Information Commissioner, the Buyer is responsible for the Data Loss Event,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Data Loss Event. The Supplier shall provide to the Buyer and its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investigators and auditors, on request and at the Supplier's reasonable cost, full cooperation and access to conduct a thorough audit of such Data Loss Event; </w:t>
      </w:r>
    </w:p>
    <w:p w14:paraId="00000102" w14:textId="313C01EC"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in the view of the Information Commissioner, the Supplier is responsible for the Data Loss Event, in that it is not a Data Loss Event that the Buyer is responsible for, then the Supplier shall be </w:t>
      </w:r>
      <w:r>
        <w:rPr>
          <w:rFonts w:ascii="Arial" w:eastAsia="Arial" w:hAnsi="Arial" w:cs="Arial"/>
          <w:color w:val="000000"/>
          <w:sz w:val="24"/>
          <w:szCs w:val="24"/>
        </w:rPr>
        <w:lastRenderedPageBreak/>
        <w:t>responsible for the payment of these Financial Penalties. The Supplier will provide to the Buyer and its auditors, on request and at the Supplier’s sole cost, full cooperation and access to conduct a thorough audit of such Data Loss Event; or</w:t>
      </w:r>
    </w:p>
    <w:p w14:paraId="00000103" w14:textId="10A26C39"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if no view as to responsibility is expressed by the Information Commissioner, then the Buyer and the Supplier shall work together to investigate the relevant Data Loss Event and allocate responsibility for any Financial Penalties as outlined above, or by agreement to split any financial penalties equally if no responsibility for the Data Loss Event can be apportioned. In the event that the Parties do not agree such apportionment then such Dispute shall be referred to the Dispute Resolution Procedure set out in Clause 39 of the Core Terms (Resolving disputes). </w:t>
      </w:r>
    </w:p>
    <w:p w14:paraId="00000104" w14:textId="7EC0DD00" w:rsidR="00271DE7" w:rsidRDefault="00281B0B" w:rsidP="00D54C6E">
      <w:pPr>
        <w:numPr>
          <w:ilvl w:val="1"/>
          <w:numId w:val="6"/>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54" w:name="_heading=h.3j2qqm3" w:colFirst="0" w:colLast="0"/>
      <w:bookmarkStart w:id="55" w:name="_Ref141095763"/>
      <w:bookmarkEnd w:id="54"/>
      <w:r>
        <w:rPr>
          <w:rFonts w:ascii="Arial" w:eastAsia="Arial" w:hAnsi="Arial" w:cs="Arial"/>
          <w:color w:val="000000"/>
          <w:sz w:val="24"/>
          <w:szCs w:val="24"/>
        </w:rPr>
        <w:t>If either the Buyer or the Supplier is the defendant in a legal claim brought before a court of competent jurisdiction (</w:t>
      </w:r>
      <w:r w:rsidR="003B70CC">
        <w:rPr>
          <w:rFonts w:ascii="Arial" w:eastAsia="Arial" w:hAnsi="Arial" w:cs="Arial"/>
          <w:color w:val="000000"/>
          <w:sz w:val="24"/>
          <w:szCs w:val="24"/>
        </w:rPr>
        <w:t>"</w:t>
      </w:r>
      <w:r w:rsidRPr="00831C67">
        <w:rPr>
          <w:rFonts w:ascii="Arial" w:eastAsia="Arial" w:hAnsi="Arial" w:cs="Arial"/>
          <w:b/>
          <w:bCs/>
          <w:color w:val="000000"/>
          <w:sz w:val="24"/>
          <w:szCs w:val="24"/>
        </w:rPr>
        <w:t>Court</w:t>
      </w:r>
      <w:r w:rsidR="003B70CC">
        <w:rPr>
          <w:rFonts w:ascii="Arial" w:eastAsia="Arial" w:hAnsi="Arial" w:cs="Arial"/>
          <w:color w:val="000000"/>
          <w:sz w:val="24"/>
          <w:szCs w:val="24"/>
        </w:rPr>
        <w:t>"</w:t>
      </w:r>
      <w:r>
        <w:rPr>
          <w:rFonts w:ascii="Arial" w:eastAsia="Arial" w:hAnsi="Arial" w:cs="Arial"/>
          <w:color w:val="000000"/>
          <w:sz w:val="24"/>
          <w:szCs w:val="24"/>
        </w:rPr>
        <w: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w:t>
      </w:r>
      <w:bookmarkEnd w:id="55"/>
      <w:r>
        <w:rPr>
          <w:rFonts w:ascii="Arial" w:eastAsia="Arial" w:hAnsi="Arial" w:cs="Arial"/>
          <w:color w:val="000000"/>
          <w:sz w:val="24"/>
          <w:szCs w:val="24"/>
        </w:rPr>
        <w:t xml:space="preserve">  </w:t>
      </w:r>
    </w:p>
    <w:p w14:paraId="00000105" w14:textId="47EB3EF0" w:rsidR="00271DE7" w:rsidRDefault="00281B0B" w:rsidP="00D54C6E">
      <w:pPr>
        <w:keepNext/>
        <w:numPr>
          <w:ilvl w:val="1"/>
          <w:numId w:val="6"/>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56" w:name="_heading=h.1y810tw" w:colFirst="0" w:colLast="0"/>
      <w:bookmarkStart w:id="57" w:name="_Ref141095768"/>
      <w:bookmarkEnd w:id="56"/>
      <w:r>
        <w:rPr>
          <w:rFonts w:ascii="Arial" w:eastAsia="Arial" w:hAnsi="Arial" w:cs="Arial"/>
          <w:color w:val="000000"/>
          <w:sz w:val="24"/>
          <w:szCs w:val="24"/>
        </w:rPr>
        <w:t xml:space="preserve">In respect of any losses, cost claims or expenses incurred by either Party as a result of a Data Loss Event (the </w:t>
      </w:r>
      <w:r w:rsidR="003B70CC">
        <w:rPr>
          <w:rFonts w:ascii="Arial" w:eastAsia="Arial" w:hAnsi="Arial" w:cs="Arial"/>
          <w:color w:val="000000"/>
          <w:sz w:val="24"/>
          <w:szCs w:val="24"/>
        </w:rPr>
        <w:t>"</w:t>
      </w:r>
      <w:r w:rsidRPr="00831C67">
        <w:rPr>
          <w:rFonts w:ascii="Arial" w:eastAsia="Arial" w:hAnsi="Arial" w:cs="Arial"/>
          <w:b/>
          <w:bCs/>
          <w:color w:val="000000"/>
          <w:sz w:val="24"/>
          <w:szCs w:val="24"/>
        </w:rPr>
        <w:t>Claim Losses</w:t>
      </w:r>
      <w:r w:rsidR="003B70CC">
        <w:rPr>
          <w:rFonts w:ascii="Arial" w:eastAsia="Arial" w:hAnsi="Arial" w:cs="Arial"/>
          <w:color w:val="000000"/>
          <w:sz w:val="24"/>
          <w:szCs w:val="24"/>
        </w:rPr>
        <w:t>"</w:t>
      </w:r>
      <w:r>
        <w:rPr>
          <w:rFonts w:ascii="Arial" w:eastAsia="Arial" w:hAnsi="Arial" w:cs="Arial"/>
          <w:color w:val="000000"/>
          <w:sz w:val="24"/>
          <w:szCs w:val="24"/>
        </w:rPr>
        <w:t>):</w:t>
      </w:r>
      <w:bookmarkEnd w:id="57"/>
    </w:p>
    <w:p w14:paraId="00000106" w14:textId="26DA536F"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is responsible for the relevant Data Loss Event, then the Buyer shall be responsible for the Claim Losses;</w:t>
      </w:r>
    </w:p>
    <w:p w14:paraId="00000107" w14:textId="20BF7F6D"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Supplier is responsible for the relevant Data Loss Event, then the Supplier shall be responsible for the Claim Losses: and</w:t>
      </w:r>
    </w:p>
    <w:p w14:paraId="00000108" w14:textId="6D88319E"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responsibility for the relevant Data Loss Event is unclear, then the Buyer and the Supplier shall be responsible for the Claim Losses equally. </w:t>
      </w:r>
    </w:p>
    <w:p w14:paraId="00000109" w14:textId="06E3D148"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Nothing in either Paragraph</w:t>
      </w:r>
      <w:r w:rsidR="00831C67">
        <w:rPr>
          <w:rFonts w:ascii="Arial" w:eastAsia="Arial" w:hAnsi="Arial" w:cs="Arial"/>
          <w:color w:val="000000"/>
          <w:sz w:val="24"/>
          <w:szCs w:val="24"/>
        </w:rPr>
        <w:t xml:space="preserve">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_Ref141095763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7.2</w:t>
      </w:r>
      <w:r w:rsidR="00831C67">
        <w:rPr>
          <w:rFonts w:ascii="Arial" w:eastAsia="Arial" w:hAnsi="Arial" w:cs="Arial"/>
          <w:color w:val="000000"/>
          <w:sz w:val="24"/>
          <w:szCs w:val="24"/>
        </w:rPr>
        <w:fldChar w:fldCharType="end"/>
      </w:r>
      <w:r w:rsidR="00831C67">
        <w:rPr>
          <w:rFonts w:ascii="Arial" w:eastAsia="Arial" w:hAnsi="Arial" w:cs="Arial"/>
          <w:color w:val="000000"/>
          <w:sz w:val="24"/>
          <w:szCs w:val="24"/>
        </w:rPr>
        <w:t xml:space="preserve"> </w:t>
      </w:r>
      <w:r>
        <w:rPr>
          <w:rFonts w:ascii="Arial" w:eastAsia="Arial" w:hAnsi="Arial" w:cs="Arial"/>
          <w:color w:val="000000"/>
          <w:sz w:val="24"/>
          <w:szCs w:val="24"/>
        </w:rPr>
        <w:t>or Paragraph</w:t>
      </w:r>
      <w:r w:rsidR="00831C67">
        <w:rPr>
          <w:rFonts w:ascii="Arial" w:eastAsia="Arial" w:hAnsi="Arial" w:cs="Arial"/>
          <w:color w:val="000000"/>
          <w:sz w:val="24"/>
          <w:szCs w:val="24"/>
        </w:rPr>
        <w:t xml:space="preserve"> </w:t>
      </w:r>
      <w:r>
        <w:rPr>
          <w:rFonts w:ascii="Arial" w:eastAsia="Arial" w:hAnsi="Arial" w:cs="Arial"/>
          <w:color w:val="000000"/>
          <w:sz w:val="24"/>
          <w:szCs w:val="24"/>
        </w:rPr>
        <w:t>‎</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_Ref141095768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7.3</w:t>
      </w:r>
      <w:r w:rsidR="00831C67">
        <w:rPr>
          <w:rFonts w:ascii="Arial" w:eastAsia="Arial" w:hAnsi="Arial" w:cs="Arial"/>
          <w:color w:val="000000"/>
          <w:sz w:val="24"/>
          <w:szCs w:val="24"/>
        </w:rPr>
        <w:fldChar w:fldCharType="end"/>
      </w:r>
      <w:r w:rsidR="00831C67">
        <w:rPr>
          <w:rFonts w:ascii="Arial" w:eastAsia="Arial" w:hAnsi="Arial" w:cs="Arial"/>
          <w:color w:val="000000"/>
          <w:sz w:val="24"/>
          <w:szCs w:val="24"/>
        </w:rPr>
        <w:t xml:space="preserve"> </w:t>
      </w:r>
      <w:r>
        <w:rPr>
          <w:rFonts w:ascii="Arial" w:eastAsia="Arial" w:hAnsi="Arial" w:cs="Arial"/>
          <w:color w:val="000000"/>
          <w:sz w:val="24"/>
          <w:szCs w:val="24"/>
        </w:rPr>
        <w:t>shall preclude the Buyer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Buyer.</w:t>
      </w:r>
    </w:p>
    <w:p w14:paraId="0000010A" w14:textId="1AA1F0D7"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Termination</w:t>
      </w:r>
    </w:p>
    <w:p w14:paraId="0000010B" w14:textId="1AB3D862" w:rsidR="00271DE7" w:rsidRDefault="00281B0B" w:rsidP="0068783C">
      <w:pPr>
        <w:pBdr>
          <w:top w:val="nil"/>
          <w:left w:val="nil"/>
          <w:bottom w:val="nil"/>
          <w:right w:val="nil"/>
          <w:between w:val="nil"/>
        </w:pBdr>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If the Supplier is in Material Default under any of its obligations under this Annex </w:t>
      </w:r>
      <w:r w:rsidR="00831C67" w:rsidRPr="00831C67">
        <w:rPr>
          <w:rFonts w:eastAsia="Arial" w:cs="Arial"/>
          <w:sz w:val="24"/>
          <w:szCs w:val="24"/>
        </w:rPr>
        <w:fldChar w:fldCharType="begin"/>
      </w:r>
      <w:r w:rsidR="00831C67" w:rsidRPr="00831C67">
        <w:rPr>
          <w:rFonts w:eastAsia="Arial" w:cs="Arial"/>
          <w:sz w:val="24"/>
          <w:szCs w:val="24"/>
        </w:rPr>
        <w:instrText xml:space="preserve"> REF Ann_2 \h  \* MERGEFORMAT </w:instrText>
      </w:r>
      <w:r w:rsidR="00831C67" w:rsidRPr="00831C67">
        <w:rPr>
          <w:rFonts w:eastAsia="Arial" w:cs="Arial"/>
          <w:sz w:val="24"/>
          <w:szCs w:val="24"/>
        </w:rPr>
      </w:r>
      <w:r w:rsidR="00831C67" w:rsidRPr="00831C67">
        <w:rPr>
          <w:rFonts w:eastAsia="Arial" w:cs="Arial"/>
          <w:sz w:val="24"/>
          <w:szCs w:val="24"/>
        </w:rPr>
        <w:fldChar w:fldCharType="separate"/>
      </w:r>
      <w:r w:rsidR="00831C67" w:rsidRPr="00831C67">
        <w:rPr>
          <w:rFonts w:ascii="Arial" w:eastAsia="Arial" w:hAnsi="Arial" w:cs="Arial"/>
          <w:color w:val="000000"/>
          <w:sz w:val="24"/>
          <w:szCs w:val="24"/>
        </w:rPr>
        <w:t>2</w:t>
      </w:r>
      <w:r w:rsidR="00831C67" w:rsidRPr="00831C67">
        <w:rPr>
          <w:rFonts w:eastAsia="Arial" w:cs="Arial"/>
          <w:sz w:val="24"/>
          <w:szCs w:val="24"/>
        </w:rPr>
        <w:fldChar w:fldCharType="end"/>
      </w:r>
      <w:r w:rsidR="00831C67" w:rsidRPr="00831C67">
        <w:rPr>
          <w:rFonts w:eastAsia="Arial" w:cs="Arial"/>
          <w:sz w:val="24"/>
          <w:szCs w:val="24"/>
        </w:rPr>
        <w:t xml:space="preserve"> </w:t>
      </w:r>
      <w:r>
        <w:rPr>
          <w:rFonts w:ascii="Arial" w:eastAsia="Arial" w:hAnsi="Arial" w:cs="Arial"/>
          <w:color w:val="000000"/>
          <w:sz w:val="24"/>
          <w:szCs w:val="24"/>
        </w:rPr>
        <w:t xml:space="preserve"> (</w:t>
      </w:r>
      <w:r w:rsidRPr="00831C67">
        <w:rPr>
          <w:rFonts w:ascii="Arial" w:eastAsia="Arial" w:hAnsi="Arial" w:cs="Arial"/>
          <w:iCs/>
          <w:color w:val="000000"/>
          <w:sz w:val="24"/>
          <w:szCs w:val="24"/>
        </w:rPr>
        <w:t>Joint Controller Agreement</w:t>
      </w:r>
      <w:r>
        <w:rPr>
          <w:rFonts w:ascii="Arial" w:eastAsia="Arial" w:hAnsi="Arial" w:cs="Arial"/>
          <w:color w:val="000000"/>
          <w:sz w:val="24"/>
          <w:szCs w:val="24"/>
        </w:rPr>
        <w:t xml:space="preserve">), the Buyer shall be entitled to terminate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by issuing a Termination Notice to the Supplier in accordance with Clause 14 of the Core Terms (Ending the contract) and the consequences of termination in Clause 14.5.1 of the Core Terms shall apply.</w:t>
      </w:r>
    </w:p>
    <w:p w14:paraId="0000010C" w14:textId="16322215"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Sub-Processing</w:t>
      </w:r>
    </w:p>
    <w:p w14:paraId="0000010D" w14:textId="0ACFA6A1" w:rsidR="00271DE7" w:rsidRDefault="00281B0B" w:rsidP="00831C67">
      <w:pPr>
        <w:keepNext/>
        <w:pBdr>
          <w:top w:val="nil"/>
          <w:left w:val="nil"/>
          <w:bottom w:val="nil"/>
          <w:right w:val="nil"/>
          <w:between w:val="nil"/>
        </w:pBdr>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000010E" w14:textId="0080EB6A"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carry out adequate due diligence on such third party to ensure that it is capable of providing the level of protection for the Personal Data as is required by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and  provide</w:t>
      </w:r>
      <w:proofErr w:type="gramEnd"/>
      <w:r>
        <w:rPr>
          <w:rFonts w:ascii="Arial" w:eastAsia="Arial" w:hAnsi="Arial" w:cs="Arial"/>
          <w:color w:val="000000"/>
          <w:sz w:val="24"/>
          <w:szCs w:val="24"/>
        </w:rPr>
        <w:t xml:space="preserve"> evidence of such due diligence to the  other Party where reasonably requested; and</w:t>
      </w:r>
    </w:p>
    <w:p w14:paraId="0000010F" w14:textId="6E06D55F"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ensure that a suitable agreement is in place with the third party as required under applicable Data Protection Legislation.</w:t>
      </w:r>
    </w:p>
    <w:p w14:paraId="00000110" w14:textId="2ACEC77C"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Data Retention</w:t>
      </w:r>
    </w:p>
    <w:p w14:paraId="00000111" w14:textId="6CD403BE" w:rsidR="00271DE7" w:rsidRDefault="00281B0B" w:rsidP="00831C67">
      <w:pPr>
        <w:pBdr>
          <w:top w:val="nil"/>
          <w:left w:val="nil"/>
          <w:bottom w:val="nil"/>
          <w:right w:val="nil"/>
          <w:between w:val="nil"/>
        </w:pBdr>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taking all further actions as may be necessary to ensure its compliance with Data Protection Legislation and its privacy policy. </w:t>
      </w:r>
    </w:p>
    <w:sectPr w:rsidR="00271DE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4615A" w14:textId="77777777" w:rsidR="006C343F" w:rsidRDefault="006C343F">
      <w:pPr>
        <w:spacing w:after="0" w:line="240" w:lineRule="auto"/>
      </w:pPr>
      <w:r>
        <w:separator/>
      </w:r>
    </w:p>
  </w:endnote>
  <w:endnote w:type="continuationSeparator" w:id="0">
    <w:p w14:paraId="6CAA8DBE" w14:textId="77777777" w:rsidR="006C343F" w:rsidRDefault="006C3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1D" w14:textId="242900AE" w:rsidR="00271DE7" w:rsidRPr="00BF3713" w:rsidRDefault="006C343F" w:rsidP="00BF3713">
    <w:pPr>
      <w:tabs>
        <w:tab w:val="center" w:pos="4513"/>
        <w:tab w:val="right" w:pos="9026"/>
      </w:tabs>
      <w:spacing w:after="0"/>
      <w:rPr>
        <w:rFonts w:ascii="Arial" w:eastAsia="Arial" w:hAnsi="Arial" w:cs="Arial"/>
        <w:sz w:val="20"/>
        <w:szCs w:val="20"/>
      </w:rPr>
    </w:pPr>
    <w:sdt>
      <w:sdtPr>
        <w:tag w:val="goog_rdk_1428"/>
        <w:id w:val="1987424940"/>
      </w:sdt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showingPlcHdr/>
    </w:sdtPr>
    <w:sdtEndPr/>
    <w:sdtContent>
      <w:p w14:paraId="0000011E" w14:textId="324C03A9" w:rsidR="00271DE7" w:rsidRDefault="00BF3713">
        <w:pPr>
          <w:spacing w:after="0"/>
        </w:pPr>
        <w: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1425"/>
      <w:id w:val="-1756883338"/>
    </w:sdtPr>
    <w:sdtEndPr/>
    <w:sdtContent>
      <w:p w14:paraId="00000119"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sdt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sdt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6E28A" w14:textId="77777777" w:rsidR="006C343F" w:rsidRDefault="006C343F">
      <w:pPr>
        <w:spacing w:after="0" w:line="240" w:lineRule="auto"/>
      </w:pPr>
      <w:r>
        <w:separator/>
      </w:r>
    </w:p>
  </w:footnote>
  <w:footnote w:type="continuationSeparator" w:id="0">
    <w:p w14:paraId="729FB9F8" w14:textId="77777777" w:rsidR="006C343F" w:rsidRDefault="006C3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FA7C3" w14:textId="3A5FBC07" w:rsidR="00D54C6E" w:rsidRPr="001C338C" w:rsidRDefault="006C343F"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sdt>
      <w:sdtPr>
        <w:rPr>
          <w:rFonts w:ascii="Arial" w:hAnsi="Arial" w:cs="Arial"/>
        </w:rPr>
        <w:tag w:val="goog_rdk_1423"/>
        <w:id w:val="-643124000"/>
      </w:sdtPr>
      <w:sdtEndPr/>
      <w:sdtContent>
        <w:r w:rsidR="00281B0B" w:rsidRPr="001C338C">
          <w:rPr>
            <w:rFonts w:ascii="Arial" w:eastAsia="Arial" w:hAnsi="Arial" w:cs="Arial"/>
            <w:color w:val="000000"/>
            <w:sz w:val="20"/>
            <w:szCs w:val="20"/>
          </w:rPr>
          <w:t>Schedule 20 (Processing Data)</w:t>
        </w:r>
      </w:sdtContent>
    </w:sdt>
    <w:r w:rsidR="00BF3713" w:rsidRPr="001C338C">
      <w:rPr>
        <w:rFonts w:ascii="Arial" w:eastAsia="Arial" w:hAnsi="Arial" w:cs="Arial"/>
        <w:color w:val="000000"/>
        <w:sz w:val="20"/>
        <w:szCs w:val="20"/>
      </w:rPr>
      <w:t xml:space="preserve">, </w:t>
    </w:r>
    <w:sdt>
      <w:sdtPr>
        <w:rPr>
          <w:rFonts w:ascii="Arial" w:hAnsi="Arial" w:cs="Arial"/>
        </w:rPr>
        <w:tag w:val="goog_rdk_1424"/>
        <w:id w:val="1187171386"/>
      </w:sdtPr>
      <w:sdtEndPr/>
      <w:sdtContent>
        <w:r w:rsidR="00281B0B" w:rsidRPr="001C338C">
          <w:rPr>
            <w:rFonts w:ascii="Arial" w:eastAsia="Arial" w:hAnsi="Arial" w:cs="Arial"/>
            <w:color w:val="000000"/>
            <w:sz w:val="20"/>
            <w:szCs w:val="20"/>
          </w:rPr>
          <w:t>Crown Copyright</w:t>
        </w:r>
        <w:r w:rsidR="00281B0B" w:rsidRPr="001C338C">
          <w:rPr>
            <w:rFonts w:ascii="Arial" w:eastAsia="Arial" w:hAnsi="Arial" w:cs="Arial"/>
            <w:color w:val="000000"/>
            <w:sz w:val="14"/>
            <w:szCs w:val="14"/>
          </w:rPr>
          <w:t xml:space="preserve"> </w:t>
        </w:r>
        <w:r w:rsidR="00281B0B" w:rsidRPr="001C338C">
          <w:rPr>
            <w:rFonts w:ascii="Arial" w:eastAsia="Arial" w:hAnsi="Arial" w:cs="Arial"/>
            <w:color w:val="000000"/>
            <w:sz w:val="20"/>
            <w:szCs w:val="20"/>
          </w:rPr>
          <w:t>202</w:t>
        </w:r>
        <w:r w:rsidR="00D54C6E" w:rsidRPr="001C338C">
          <w:rPr>
            <w:rFonts w:ascii="Arial" w:eastAsia="Arial" w:hAnsi="Arial" w:cs="Arial"/>
            <w:color w:val="000000"/>
            <w:sz w:val="20"/>
            <w:szCs w:val="20"/>
          </w:rPr>
          <w:t>3</w:t>
        </w:r>
      </w:sdtContent>
    </w:sdt>
    <w:r w:rsidR="00BF3713" w:rsidRPr="001C338C">
      <w:rPr>
        <w:rFonts w:ascii="Arial" w:eastAsia="Arial" w:hAnsi="Arial" w:cs="Arial"/>
        <w:color w:val="000000"/>
        <w:sz w:val="20"/>
        <w:szCs w:val="20"/>
      </w:rPr>
      <w:t xml:space="preserve">, </w:t>
    </w:r>
    <w:r w:rsidR="001C338C" w:rsidRPr="001C338C">
      <w:rPr>
        <w:rFonts w:ascii="Arial" w:hAnsi="Arial" w:cs="Arial"/>
      </w:rPr>
      <w:t>RM6385 Energy Trading and Risk Management (ETRM) System</w:t>
    </w:r>
  </w:p>
  <w:p w14:paraId="01F80597" w14:textId="77777777" w:rsidR="00D54C6E" w:rsidRPr="001C338C"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1421"/>
      <w:id w:val="-1132631374"/>
    </w:sdtPr>
    <w:sdtEndPr/>
    <w:sdtContent>
      <w:p w14:paraId="00000115"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7"/>
  </w:num>
  <w:num w:numId="3">
    <w:abstractNumId w:val="1"/>
  </w:num>
  <w:num w:numId="4">
    <w:abstractNumId w:val="8"/>
  </w:num>
  <w:num w:numId="5">
    <w:abstractNumId w:val="0"/>
  </w:num>
  <w:num w:numId="6">
    <w:abstractNumId w:val="2"/>
  </w:num>
  <w:num w:numId="7">
    <w:abstractNumId w:val="5"/>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669A1"/>
    <w:rsid w:val="0009044D"/>
    <w:rsid w:val="00167F5F"/>
    <w:rsid w:val="001C338C"/>
    <w:rsid w:val="001E73DA"/>
    <w:rsid w:val="00271DE7"/>
    <w:rsid w:val="00281B0B"/>
    <w:rsid w:val="0029774D"/>
    <w:rsid w:val="002A43F3"/>
    <w:rsid w:val="003B53E5"/>
    <w:rsid w:val="003B70CC"/>
    <w:rsid w:val="004B56C7"/>
    <w:rsid w:val="004D7A45"/>
    <w:rsid w:val="005A212F"/>
    <w:rsid w:val="0068783C"/>
    <w:rsid w:val="006A1C60"/>
    <w:rsid w:val="006C343F"/>
    <w:rsid w:val="007340B7"/>
    <w:rsid w:val="007B1E8A"/>
    <w:rsid w:val="00826371"/>
    <w:rsid w:val="00831C67"/>
    <w:rsid w:val="00953FEE"/>
    <w:rsid w:val="00985C45"/>
    <w:rsid w:val="009B0AA3"/>
    <w:rsid w:val="00AB133C"/>
    <w:rsid w:val="00AC431B"/>
    <w:rsid w:val="00BC15C0"/>
    <w:rsid w:val="00BE37C3"/>
    <w:rsid w:val="00BF3713"/>
    <w:rsid w:val="00C2772B"/>
    <w:rsid w:val="00C71C6C"/>
    <w:rsid w:val="00C95600"/>
    <w:rsid w:val="00CF2F80"/>
    <w:rsid w:val="00D54C6E"/>
    <w:rsid w:val="00DB1B38"/>
    <w:rsid w:val="00F01B65"/>
    <w:rsid w:val="00F63A04"/>
    <w:rsid w:val="00FD4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5957</Words>
  <Characters>33961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Tetlow</dc:creator>
  <cp:lastModifiedBy>Paige Elliott</cp:lastModifiedBy>
  <cp:revision>3</cp:revision>
  <dcterms:created xsi:type="dcterms:W3CDTF">2024-10-24T12:26:00Z</dcterms:created>
  <dcterms:modified xsi:type="dcterms:W3CDTF">2024-11-11T14:46:00Z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ies>
</file>